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4058" w:right="0" w:firstLine="0"/>
        <w:rPr>
          <w:sz w:val="20"/>
        </w:rPr>
      </w:pPr>
      <w:bookmarkStart w:name="Ata de Reunião 663ª (11602938)" w:id="1"/>
      <w:bookmarkEnd w:id="1"/>
      <w:r>
        <w:rPr/>
      </w:r>
      <w:r>
        <w:rPr>
          <w:sz w:val="20"/>
        </w:rPr>
        <w:drawing>
          <wp:inline distT="0" distB="0" distL="0" distR="0">
            <wp:extent cx="1688190" cy="1074991"/>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688190" cy="1074991"/>
                    </a:xfrm>
                    <a:prstGeom prst="rect">
                      <a:avLst/>
                    </a:prstGeom>
                  </pic:spPr>
                </pic:pic>
              </a:graphicData>
            </a:graphic>
          </wp:inline>
        </w:drawing>
      </w:r>
      <w:r>
        <w:rPr>
          <w:sz w:val="20"/>
        </w:rPr>
      </w:r>
    </w:p>
    <w:p>
      <w:pPr>
        <w:pStyle w:val="BodyText"/>
        <w:spacing w:before="60"/>
        <w:ind w:left="12" w:right="12"/>
        <w:jc w:val="center"/>
      </w:pPr>
      <w:r>
        <w:rPr/>
        <w:t>COMPANHIA</w:t>
      </w:r>
      <w:r>
        <w:rPr>
          <w:spacing w:val="-15"/>
        </w:rPr>
        <w:t> </w:t>
      </w:r>
      <w:r>
        <w:rPr/>
        <w:t>DOCAS</w:t>
      </w:r>
      <w:r>
        <w:rPr>
          <w:spacing w:val="-14"/>
        </w:rPr>
        <w:t> </w:t>
      </w:r>
      <w:r>
        <w:rPr/>
        <w:t>DO</w:t>
      </w:r>
      <w:r>
        <w:rPr>
          <w:spacing w:val="-14"/>
        </w:rPr>
        <w:t> </w:t>
      </w:r>
      <w:r>
        <w:rPr>
          <w:spacing w:val="-2"/>
        </w:rPr>
        <w:t>CEARÁ</w:t>
      </w:r>
    </w:p>
    <w:p>
      <w:pPr>
        <w:spacing w:before="254"/>
        <w:ind w:left="4278" w:right="0" w:firstLine="0"/>
        <w:jc w:val="left"/>
        <w:rPr>
          <w:sz w:val="26"/>
        </w:rPr>
      </w:pPr>
      <w:r>
        <w:rPr>
          <w:sz w:val="26"/>
        </w:rPr>
        <w:t>ATA</w:t>
      </w:r>
      <w:r>
        <w:rPr>
          <w:spacing w:val="-2"/>
          <w:sz w:val="26"/>
        </w:rPr>
        <w:t> </w:t>
      </w:r>
      <w:r>
        <w:rPr>
          <w:sz w:val="26"/>
        </w:rPr>
        <w:t>DE</w:t>
      </w:r>
      <w:r>
        <w:rPr>
          <w:spacing w:val="-1"/>
          <w:sz w:val="26"/>
        </w:rPr>
        <w:t> </w:t>
      </w:r>
      <w:r>
        <w:rPr>
          <w:spacing w:val="-2"/>
          <w:sz w:val="26"/>
        </w:rPr>
        <w:t>REUNIÃO</w:t>
      </w:r>
    </w:p>
    <w:p>
      <w:pPr>
        <w:pStyle w:val="Title"/>
        <w:spacing w:line="439" w:lineRule="auto"/>
      </w:pPr>
      <w:r>
        <w:rPr/>
        <w:t>ATA DA 663ª REUNIÃO ORDINÁRIA DO CONSELHO FISCAL DA COMPANHIA DOCAS DO CEARÁ</w:t>
      </w:r>
    </w:p>
    <w:p>
      <w:pPr>
        <w:pStyle w:val="BodyText"/>
        <w:spacing w:before="92"/>
        <w:ind w:left="0"/>
        <w:rPr>
          <w:b/>
          <w:sz w:val="26"/>
        </w:rPr>
      </w:pPr>
    </w:p>
    <w:p>
      <w:pPr>
        <w:spacing w:before="0"/>
        <w:ind w:left="242" w:right="0" w:firstLine="0"/>
        <w:jc w:val="left"/>
        <w:rPr>
          <w:sz w:val="24"/>
        </w:rPr>
      </w:pPr>
      <w:r>
        <w:rPr>
          <w:b/>
          <w:sz w:val="24"/>
        </w:rPr>
        <w:t>DATA:</w:t>
      </w:r>
      <w:r>
        <w:rPr>
          <w:b/>
          <w:spacing w:val="-14"/>
          <w:sz w:val="24"/>
        </w:rPr>
        <w:t> </w:t>
      </w:r>
      <w:r>
        <w:rPr>
          <w:sz w:val="24"/>
        </w:rPr>
        <w:t>31/07/2026,</w:t>
      </w:r>
      <w:r>
        <w:rPr>
          <w:spacing w:val="-10"/>
          <w:sz w:val="24"/>
        </w:rPr>
        <w:t> </w:t>
      </w:r>
      <w:r>
        <w:rPr>
          <w:sz w:val="24"/>
        </w:rPr>
        <w:t>às</w:t>
      </w:r>
      <w:r>
        <w:rPr>
          <w:spacing w:val="-11"/>
          <w:sz w:val="24"/>
        </w:rPr>
        <w:t> </w:t>
      </w:r>
      <w:r>
        <w:rPr>
          <w:spacing w:val="-2"/>
          <w:sz w:val="24"/>
        </w:rPr>
        <w:t>08h30</w:t>
      </w:r>
    </w:p>
    <w:p>
      <w:pPr>
        <w:pStyle w:val="BodyText"/>
        <w:spacing w:before="118"/>
      </w:pPr>
      <w:r>
        <w:rPr>
          <w:b/>
        </w:rPr>
        <w:t>LOCAL:</w:t>
      </w:r>
      <w:r>
        <w:rPr>
          <w:b/>
          <w:spacing w:val="-5"/>
        </w:rPr>
        <w:t> </w:t>
      </w:r>
      <w:r>
        <w:rPr/>
        <w:t>Sala</w:t>
      </w:r>
      <w:r>
        <w:rPr>
          <w:spacing w:val="-7"/>
        </w:rPr>
        <w:t> </w:t>
      </w:r>
      <w:r>
        <w:rPr/>
        <w:t>de</w:t>
      </w:r>
      <w:r>
        <w:rPr>
          <w:spacing w:val="-8"/>
        </w:rPr>
        <w:t> </w:t>
      </w:r>
      <w:r>
        <w:rPr/>
        <w:t>Reuniões</w:t>
      </w:r>
      <w:r>
        <w:rPr>
          <w:spacing w:val="-7"/>
        </w:rPr>
        <w:t> </w:t>
      </w:r>
      <w:r>
        <w:rPr/>
        <w:t>da</w:t>
      </w:r>
      <w:r>
        <w:rPr>
          <w:spacing w:val="-7"/>
        </w:rPr>
        <w:t> </w:t>
      </w:r>
      <w:r>
        <w:rPr/>
        <w:t>CDC</w:t>
      </w:r>
      <w:r>
        <w:rPr>
          <w:spacing w:val="-15"/>
        </w:rPr>
        <w:t> </w:t>
      </w:r>
      <w:r>
        <w:rPr/>
        <w:t>e</w:t>
      </w:r>
      <w:r>
        <w:rPr>
          <w:spacing w:val="-7"/>
        </w:rPr>
        <w:t> </w:t>
      </w:r>
      <w:r>
        <w:rPr/>
        <w:t>por</w:t>
      </w:r>
      <w:r>
        <w:rPr>
          <w:spacing w:val="-8"/>
        </w:rPr>
        <w:t> </w:t>
      </w:r>
      <w:r>
        <w:rPr>
          <w:spacing w:val="-2"/>
        </w:rPr>
        <w:t>videoconferência</w:t>
      </w:r>
    </w:p>
    <w:p>
      <w:pPr>
        <w:pStyle w:val="BodyText"/>
        <w:spacing w:before="117"/>
        <w:ind w:right="255"/>
        <w:jc w:val="both"/>
      </w:pPr>
      <w:r>
        <w:rPr>
          <w:b/>
        </w:rPr>
        <w:t>PRESENÇAS DOS CONSELHEIROS:</w:t>
      </w:r>
      <w:r>
        <w:rPr>
          <w:b/>
          <w:spacing w:val="-5"/>
        </w:rPr>
        <w:t> </w:t>
      </w:r>
      <w:r>
        <w:rPr/>
        <w:t>Ivo Cordeiro Pinho Timbó, representante do Tesouro Nacional; Bruno Fernandes da Rocha Borba,</w:t>
      </w:r>
      <w:r>
        <w:rPr>
          <w:spacing w:val="-7"/>
        </w:rPr>
        <w:t> </w:t>
      </w:r>
      <w:r>
        <w:rPr/>
        <w:t>representante do Ministério de Portos e</w:t>
      </w:r>
      <w:r>
        <w:rPr>
          <w:spacing w:val="-8"/>
        </w:rPr>
        <w:t> </w:t>
      </w:r>
      <w:r>
        <w:rPr/>
        <w:t>Aeroportos; e George Christian Linhares Bezerra, representante suplente do Ministério de Portos e Aeroportos.</w:t>
      </w:r>
    </w:p>
    <w:p>
      <w:pPr>
        <w:pStyle w:val="BodyText"/>
        <w:spacing w:before="232"/>
        <w:ind w:left="0"/>
      </w:pPr>
    </w:p>
    <w:p>
      <w:pPr>
        <w:pStyle w:val="BodyText"/>
        <w:jc w:val="both"/>
      </w:pPr>
      <w:r>
        <w:rPr>
          <w:b/>
        </w:rPr>
        <w:t>Quórum:</w:t>
      </w:r>
      <w:r>
        <w:rPr>
          <w:b/>
          <w:spacing w:val="-13"/>
        </w:rPr>
        <w:t> </w:t>
      </w:r>
      <w:r>
        <w:rPr/>
        <w:t>Conselheiros</w:t>
      </w:r>
      <w:r>
        <w:rPr>
          <w:spacing w:val="-14"/>
        </w:rPr>
        <w:t> </w:t>
      </w:r>
      <w:r>
        <w:rPr/>
        <w:t>representando</w:t>
      </w:r>
      <w:r>
        <w:rPr>
          <w:spacing w:val="-14"/>
        </w:rPr>
        <w:t> </w:t>
      </w:r>
      <w:r>
        <w:rPr/>
        <w:t>100%</w:t>
      </w:r>
      <w:r>
        <w:rPr>
          <w:spacing w:val="-13"/>
        </w:rPr>
        <w:t> </w:t>
      </w:r>
      <w:r>
        <w:rPr/>
        <w:t>de</w:t>
      </w:r>
      <w:r>
        <w:rPr>
          <w:spacing w:val="-14"/>
        </w:rPr>
        <w:t> </w:t>
      </w:r>
      <w:r>
        <w:rPr>
          <w:spacing w:val="-2"/>
        </w:rPr>
        <w:t>presença.</w:t>
      </w:r>
    </w:p>
    <w:p>
      <w:pPr>
        <w:pStyle w:val="BodyText"/>
        <w:spacing w:before="235"/>
        <w:ind w:left="0"/>
      </w:pPr>
    </w:p>
    <w:p>
      <w:pPr>
        <w:pStyle w:val="BodyText"/>
        <w:ind w:right="242"/>
        <w:jc w:val="both"/>
      </w:pPr>
      <w:r>
        <w:rPr>
          <w:b/>
        </w:rPr>
        <w:t>Convidados: </w:t>
      </w:r>
      <w:r>
        <w:rPr/>
        <w:t>Rebeca Soares - Coordenadora de Auditoria Interna; Edgar Ribeiro – Coordenador financeiro; Maurício Augusto Souza Lopes - Membro do Comitê de Auditoria Estatutário; Josevaldo Nergino de Sousa - Membro do Comitê de Auditoria Estatutário; Juliana Alcantara Forte - Assessora Técnica da Presidência; Julia Pinheiro Sá Bezerra Martins - Coordenadora de Administração; Ana Paula Schnorr - Coordenadora de Gestão Portuária;</w:t>
      </w:r>
      <w:r>
        <w:rPr>
          <w:spacing w:val="40"/>
        </w:rPr>
        <w:t> </w:t>
      </w:r>
      <w:r>
        <w:rPr/>
        <w:t>José Evandro de Goes - Coordenador de Planejamento Estratégico; Cândido Oliveira - Representante da CODPLA; e Igor Rodrigues Brasil -Coordenador de </w:t>
      </w:r>
      <w:r>
        <w:rPr>
          <w:spacing w:val="-2"/>
        </w:rPr>
        <w:t>Infraestrutura.</w:t>
      </w:r>
    </w:p>
    <w:p>
      <w:pPr>
        <w:pStyle w:val="BodyText"/>
        <w:spacing w:before="224"/>
        <w:ind w:left="0"/>
      </w:pPr>
    </w:p>
    <w:p>
      <w:pPr>
        <w:pStyle w:val="Heading1"/>
        <w:numPr>
          <w:ilvl w:val="0"/>
          <w:numId w:val="1"/>
        </w:numPr>
        <w:tabs>
          <w:tab w:pos="479" w:val="left" w:leader="none"/>
        </w:tabs>
        <w:spacing w:line="240" w:lineRule="auto" w:before="1" w:after="0"/>
        <w:ind w:left="479" w:right="0" w:hanging="237"/>
        <w:jc w:val="left"/>
      </w:pPr>
      <w:r>
        <w:rPr/>
        <w:t>ABERTURA</w:t>
      </w:r>
      <w:r>
        <w:rPr>
          <w:spacing w:val="-15"/>
        </w:rPr>
        <w:t> </w:t>
      </w:r>
      <w:r>
        <w:rPr/>
        <w:t>DOS</w:t>
      </w:r>
      <w:r>
        <w:rPr>
          <w:spacing w:val="-15"/>
        </w:rPr>
        <w:t> </w:t>
      </w:r>
      <w:r>
        <w:rPr>
          <w:spacing w:val="-2"/>
        </w:rPr>
        <w:t>TRABALHOS</w:t>
      </w:r>
    </w:p>
    <w:p>
      <w:pPr>
        <w:pStyle w:val="BodyText"/>
        <w:spacing w:before="117"/>
        <w:ind w:left="1649"/>
      </w:pPr>
      <w:r>
        <w:rPr/>
        <w:t>O</w:t>
      </w:r>
      <w:r>
        <w:rPr>
          <w:spacing w:val="-6"/>
        </w:rPr>
        <w:t> </w:t>
      </w:r>
      <w:r>
        <w:rPr/>
        <w:t>Presidente</w:t>
      </w:r>
      <w:r>
        <w:rPr>
          <w:spacing w:val="-6"/>
        </w:rPr>
        <w:t> </w:t>
      </w:r>
      <w:r>
        <w:rPr/>
        <w:t>do</w:t>
      </w:r>
      <w:r>
        <w:rPr>
          <w:spacing w:val="-5"/>
        </w:rPr>
        <w:t> </w:t>
      </w:r>
      <w:r>
        <w:rPr/>
        <w:t>Conselho</w:t>
      </w:r>
      <w:r>
        <w:rPr>
          <w:spacing w:val="-6"/>
        </w:rPr>
        <w:t> </w:t>
      </w:r>
      <w:r>
        <w:rPr/>
        <w:t>deu</w:t>
      </w:r>
      <w:r>
        <w:rPr>
          <w:spacing w:val="-6"/>
        </w:rPr>
        <w:t> </w:t>
      </w:r>
      <w:r>
        <w:rPr/>
        <w:t>boas</w:t>
      </w:r>
      <w:r>
        <w:rPr>
          <w:spacing w:val="-5"/>
        </w:rPr>
        <w:t> </w:t>
      </w:r>
      <w:r>
        <w:rPr/>
        <w:t>vindas</w:t>
      </w:r>
      <w:r>
        <w:rPr>
          <w:spacing w:val="-6"/>
        </w:rPr>
        <w:t> </w:t>
      </w:r>
      <w:r>
        <w:rPr/>
        <w:t>a</w:t>
      </w:r>
      <w:r>
        <w:rPr>
          <w:spacing w:val="-6"/>
        </w:rPr>
        <w:t> </w:t>
      </w:r>
      <w:r>
        <w:rPr/>
        <w:t>todos</w:t>
      </w:r>
      <w:r>
        <w:rPr>
          <w:spacing w:val="-5"/>
        </w:rPr>
        <w:t> </w:t>
      </w:r>
      <w:r>
        <w:rPr/>
        <w:t>e</w:t>
      </w:r>
      <w:r>
        <w:rPr>
          <w:spacing w:val="-6"/>
        </w:rPr>
        <w:t> </w:t>
      </w:r>
      <w:r>
        <w:rPr/>
        <w:t>em</w:t>
      </w:r>
      <w:r>
        <w:rPr>
          <w:spacing w:val="-5"/>
        </w:rPr>
        <w:t> </w:t>
      </w:r>
      <w:r>
        <w:rPr/>
        <w:t>seguida</w:t>
      </w:r>
      <w:r>
        <w:rPr>
          <w:spacing w:val="-6"/>
        </w:rPr>
        <w:t> </w:t>
      </w:r>
      <w:r>
        <w:rPr/>
        <w:t>passou</w:t>
      </w:r>
      <w:r>
        <w:rPr>
          <w:spacing w:val="-6"/>
        </w:rPr>
        <w:t> </w:t>
      </w:r>
      <w:r>
        <w:rPr/>
        <w:t>para</w:t>
      </w:r>
      <w:r>
        <w:rPr>
          <w:spacing w:val="-5"/>
        </w:rPr>
        <w:t> </w:t>
      </w:r>
      <w:r>
        <w:rPr/>
        <w:t>o</w:t>
      </w:r>
      <w:r>
        <w:rPr>
          <w:spacing w:val="-6"/>
        </w:rPr>
        <w:t> </w:t>
      </w:r>
      <w:r>
        <w:rPr/>
        <w:t>primeiro</w:t>
      </w:r>
      <w:r>
        <w:rPr>
          <w:spacing w:val="-6"/>
        </w:rPr>
        <w:t> </w:t>
      </w:r>
      <w:r>
        <w:rPr>
          <w:spacing w:val="-4"/>
        </w:rPr>
        <w:t>item</w:t>
      </w:r>
    </w:p>
    <w:p>
      <w:pPr>
        <w:pStyle w:val="BodyText"/>
        <w:spacing w:line="275" w:lineRule="exact"/>
      </w:pPr>
      <w:r>
        <w:rPr/>
        <w:t>de</w:t>
      </w:r>
      <w:r>
        <w:rPr>
          <w:spacing w:val="-4"/>
        </w:rPr>
        <w:t> </w:t>
      </w:r>
      <w:r>
        <w:rPr>
          <w:spacing w:val="-2"/>
        </w:rPr>
        <w:t>pauta.</w:t>
      </w:r>
    </w:p>
    <w:p>
      <w:pPr>
        <w:pStyle w:val="BodyText"/>
        <w:spacing w:before="235"/>
        <w:ind w:left="0"/>
      </w:pPr>
    </w:p>
    <w:p>
      <w:pPr>
        <w:pStyle w:val="Heading1"/>
        <w:numPr>
          <w:ilvl w:val="0"/>
          <w:numId w:val="1"/>
        </w:numPr>
        <w:tabs>
          <w:tab w:pos="479" w:val="left" w:leader="none"/>
        </w:tabs>
        <w:spacing w:line="240" w:lineRule="auto" w:before="0" w:after="0"/>
        <w:ind w:left="479" w:right="0" w:hanging="237"/>
        <w:jc w:val="left"/>
      </w:pPr>
      <w:r>
        <w:rPr/>
        <w:t>ORDEM</w:t>
      </w:r>
      <w:r>
        <w:rPr>
          <w:spacing w:val="-10"/>
        </w:rPr>
        <w:t> </w:t>
      </w:r>
      <w:r>
        <w:rPr/>
        <w:t>DO</w:t>
      </w:r>
      <w:r>
        <w:rPr>
          <w:spacing w:val="-10"/>
        </w:rPr>
        <w:t> </w:t>
      </w:r>
      <w:r>
        <w:rPr>
          <w:spacing w:val="-4"/>
        </w:rPr>
        <w:t>DIA:</w:t>
      </w:r>
    </w:p>
    <w:p>
      <w:pPr>
        <w:pStyle w:val="BodyText"/>
        <w:spacing w:before="235"/>
        <w:ind w:left="0"/>
        <w:rPr>
          <w:b/>
        </w:rPr>
      </w:pPr>
    </w:p>
    <w:p>
      <w:pPr>
        <w:pStyle w:val="Heading2"/>
        <w:numPr>
          <w:ilvl w:val="1"/>
          <w:numId w:val="1"/>
        </w:numPr>
        <w:tabs>
          <w:tab w:pos="600" w:val="left" w:leader="none"/>
        </w:tabs>
        <w:spacing w:line="275" w:lineRule="exact" w:before="0" w:after="0"/>
        <w:ind w:left="600" w:right="0" w:hanging="358"/>
        <w:jc w:val="left"/>
      </w:pPr>
      <w:r>
        <w:rPr/>
        <w:t>-</w:t>
      </w:r>
      <w:r>
        <w:rPr>
          <w:spacing w:val="-15"/>
        </w:rPr>
        <w:t> </w:t>
      </w:r>
      <w:r>
        <w:rPr/>
        <w:t>Análise</w:t>
      </w:r>
      <w:r>
        <w:rPr>
          <w:spacing w:val="-15"/>
        </w:rPr>
        <w:t> </w:t>
      </w:r>
      <w:r>
        <w:rPr/>
        <w:t>do</w:t>
      </w:r>
      <w:r>
        <w:rPr>
          <w:spacing w:val="-12"/>
        </w:rPr>
        <w:t> </w:t>
      </w:r>
      <w:r>
        <w:rPr/>
        <w:t>Balancete</w:t>
      </w:r>
      <w:r>
        <w:rPr>
          <w:spacing w:val="-10"/>
        </w:rPr>
        <w:t> </w:t>
      </w:r>
      <w:r>
        <w:rPr/>
        <w:t>e</w:t>
      </w:r>
      <w:r>
        <w:rPr>
          <w:spacing w:val="-11"/>
        </w:rPr>
        <w:t> </w:t>
      </w:r>
      <w:r>
        <w:rPr/>
        <w:t>acompanhamento</w:t>
      </w:r>
      <w:r>
        <w:rPr>
          <w:spacing w:val="-10"/>
        </w:rPr>
        <w:t> </w:t>
      </w:r>
      <w:r>
        <w:rPr/>
        <w:t>mensal</w:t>
      </w:r>
      <w:r>
        <w:rPr>
          <w:spacing w:val="-11"/>
        </w:rPr>
        <w:t> </w:t>
      </w:r>
      <w:r>
        <w:rPr/>
        <w:t>dos</w:t>
      </w:r>
      <w:r>
        <w:rPr>
          <w:spacing w:val="-10"/>
        </w:rPr>
        <w:t> </w:t>
      </w:r>
      <w:r>
        <w:rPr/>
        <w:t>resultados</w:t>
      </w:r>
      <w:r>
        <w:rPr>
          <w:spacing w:val="-11"/>
        </w:rPr>
        <w:t> </w:t>
      </w:r>
      <w:r>
        <w:rPr/>
        <w:t>econômicos</w:t>
      </w:r>
      <w:r>
        <w:rPr>
          <w:spacing w:val="-10"/>
        </w:rPr>
        <w:t> </w:t>
      </w:r>
      <w:r>
        <w:rPr/>
        <w:t>–</w:t>
      </w:r>
      <w:r>
        <w:rPr>
          <w:spacing w:val="-10"/>
        </w:rPr>
        <w:t> </w:t>
      </w:r>
      <w:r>
        <w:rPr/>
        <w:t>financeiros</w:t>
      </w:r>
      <w:r>
        <w:rPr>
          <w:spacing w:val="-11"/>
        </w:rPr>
        <w:t> </w:t>
      </w:r>
      <w:r>
        <w:rPr/>
        <w:t>–</w:t>
      </w:r>
      <w:r>
        <w:rPr>
          <w:spacing w:val="-10"/>
        </w:rPr>
        <w:t> </w:t>
      </w:r>
      <w:r>
        <w:rPr>
          <w:spacing w:val="-4"/>
        </w:rPr>
        <w:t>maio</w:t>
      </w:r>
    </w:p>
    <w:p>
      <w:pPr>
        <w:spacing w:line="275" w:lineRule="exact" w:before="0"/>
        <w:ind w:left="242" w:right="0" w:firstLine="0"/>
        <w:jc w:val="left"/>
        <w:rPr>
          <w:b/>
          <w:sz w:val="24"/>
        </w:rPr>
      </w:pPr>
      <w:r>
        <w:rPr>
          <w:b/>
          <w:sz w:val="24"/>
        </w:rPr>
        <w:t>/</w:t>
      </w:r>
      <w:r>
        <w:rPr>
          <w:b/>
          <w:spacing w:val="-2"/>
          <w:sz w:val="24"/>
        </w:rPr>
        <w:t> </w:t>
      </w:r>
      <w:r>
        <w:rPr>
          <w:b/>
          <w:spacing w:val="-4"/>
          <w:sz w:val="24"/>
        </w:rPr>
        <w:t>2026</w:t>
      </w:r>
    </w:p>
    <w:p>
      <w:pPr>
        <w:pStyle w:val="BodyText"/>
        <w:spacing w:before="117"/>
        <w:ind w:right="248" w:firstLine="1406"/>
        <w:jc w:val="both"/>
      </w:pPr>
      <w:r>
        <w:rPr/>
        <w:t>O Conselho recebeu o Relatório de Análise das Contas do Balancete da Companhia Docas do Ceará, referente ao mês de maio / 2026, apresentado pela Controller Auditoria e Assessoria Contábil S/S, que assessora este Colegiado.</w:t>
      </w:r>
      <w:r>
        <w:rPr>
          <w:spacing w:val="-9"/>
        </w:rPr>
        <w:t> </w:t>
      </w:r>
      <w:r>
        <w:rPr/>
        <w:t>O Coordenador do financeiro, Edgar Ribeiro, participou da reunião e apresentou o acompanhamento mensal dos resultados econômico – financeiro, referente às receitas e despesas da CDC do mês de maio / 2026, esclarecendo as dúvidas dos conselheiros.</w:t>
      </w:r>
    </w:p>
    <w:p>
      <w:pPr>
        <w:pStyle w:val="BodyText"/>
        <w:spacing w:before="111"/>
        <w:ind w:right="242" w:firstLine="1406"/>
        <w:jc w:val="both"/>
      </w:pPr>
      <w:r>
        <w:rPr/>
        <w:t>O Conselho solicita manifestação acerca do acréscimo de 50% registrado na conta 123.01.02.0013 – Instalação do Serviço de Refrigeração, verificado no mês de maio de 2026 em comparação com o mês de maio de 2025. Para fins de esclarecimento, o Conselho convoca para a próxima reunião o gestor responsável pela contratação do referido serviço para prestar os devidos esclarecimentos.</w:t>
      </w:r>
    </w:p>
    <w:p>
      <w:pPr>
        <w:pStyle w:val="BodyText"/>
        <w:spacing w:before="112"/>
        <w:ind w:left="1649"/>
        <w:jc w:val="both"/>
      </w:pPr>
      <w:r>
        <w:rPr/>
        <w:t>O</w:t>
      </w:r>
      <w:r>
        <w:rPr>
          <w:spacing w:val="-6"/>
        </w:rPr>
        <w:t> </w:t>
      </w:r>
      <w:r>
        <w:rPr/>
        <w:t>Conselho</w:t>
      </w:r>
      <w:r>
        <w:rPr>
          <w:spacing w:val="-5"/>
        </w:rPr>
        <w:t> </w:t>
      </w:r>
      <w:r>
        <w:rPr/>
        <w:t>solicita</w:t>
      </w:r>
      <w:r>
        <w:rPr>
          <w:spacing w:val="-5"/>
        </w:rPr>
        <w:t> </w:t>
      </w:r>
      <w:r>
        <w:rPr/>
        <w:t>manifestação</w:t>
      </w:r>
      <w:r>
        <w:rPr>
          <w:spacing w:val="-5"/>
        </w:rPr>
        <w:t> </w:t>
      </w:r>
      <w:r>
        <w:rPr/>
        <w:t>acerca</w:t>
      </w:r>
      <w:r>
        <w:rPr>
          <w:spacing w:val="-6"/>
        </w:rPr>
        <w:t> </w:t>
      </w:r>
      <w:r>
        <w:rPr/>
        <w:t>do</w:t>
      </w:r>
      <w:r>
        <w:rPr>
          <w:spacing w:val="-5"/>
        </w:rPr>
        <w:t> </w:t>
      </w:r>
      <w:r>
        <w:rPr/>
        <w:t>acréscimo</w:t>
      </w:r>
      <w:r>
        <w:rPr>
          <w:spacing w:val="-5"/>
        </w:rPr>
        <w:t> </w:t>
      </w:r>
      <w:r>
        <w:rPr/>
        <w:t>registrado</w:t>
      </w:r>
      <w:r>
        <w:rPr>
          <w:spacing w:val="-5"/>
        </w:rPr>
        <w:t> </w:t>
      </w:r>
      <w:r>
        <w:rPr/>
        <w:t>na</w:t>
      </w:r>
      <w:r>
        <w:rPr>
          <w:spacing w:val="-6"/>
        </w:rPr>
        <w:t> </w:t>
      </w:r>
      <w:r>
        <w:rPr/>
        <w:t>conta</w:t>
      </w:r>
      <w:r>
        <w:rPr>
          <w:spacing w:val="-5"/>
        </w:rPr>
        <w:t> </w:t>
      </w:r>
      <w:r>
        <w:rPr/>
        <w:t>411.01.01.0012</w:t>
      </w:r>
      <w:r>
        <w:rPr>
          <w:spacing w:val="-5"/>
        </w:rPr>
        <w:t> </w:t>
      </w:r>
      <w:r>
        <w:rPr>
          <w:spacing w:val="-10"/>
        </w:rPr>
        <w:t>–</w:t>
      </w:r>
    </w:p>
    <w:p>
      <w:pPr>
        <w:pStyle w:val="BodyText"/>
        <w:spacing w:after="0"/>
        <w:jc w:val="both"/>
        <w:sectPr>
          <w:footerReference w:type="default" r:id="rId5"/>
          <w:type w:val="continuous"/>
          <w:pgSz w:w="11900" w:h="16840"/>
          <w:pgMar w:header="0" w:footer="181" w:top="560" w:bottom="380" w:left="566" w:right="566"/>
          <w:pgNumType w:start="1"/>
        </w:sectPr>
      </w:pPr>
    </w:p>
    <w:p>
      <w:pPr>
        <w:pStyle w:val="BodyText"/>
        <w:spacing w:before="60"/>
      </w:pPr>
      <w:r>
        <w:rPr/>
        <w:t>Assistência</w:t>
      </w:r>
      <w:r>
        <w:rPr>
          <w:spacing w:val="-6"/>
        </w:rPr>
        <w:t> </w:t>
      </w:r>
      <w:r>
        <w:rPr/>
        <w:t>Médica,</w:t>
      </w:r>
      <w:r>
        <w:rPr>
          <w:spacing w:val="-6"/>
        </w:rPr>
        <w:t> </w:t>
      </w:r>
      <w:r>
        <w:rPr/>
        <w:t>verificado</w:t>
      </w:r>
      <w:r>
        <w:rPr>
          <w:spacing w:val="-6"/>
        </w:rPr>
        <w:t> </w:t>
      </w:r>
      <w:r>
        <w:rPr/>
        <w:t>no</w:t>
      </w:r>
      <w:r>
        <w:rPr>
          <w:spacing w:val="-6"/>
        </w:rPr>
        <w:t> </w:t>
      </w:r>
      <w:r>
        <w:rPr/>
        <w:t>mês</w:t>
      </w:r>
      <w:r>
        <w:rPr>
          <w:spacing w:val="-6"/>
        </w:rPr>
        <w:t> </w:t>
      </w:r>
      <w:r>
        <w:rPr/>
        <w:t>de</w:t>
      </w:r>
      <w:r>
        <w:rPr>
          <w:spacing w:val="-6"/>
        </w:rPr>
        <w:t> </w:t>
      </w:r>
      <w:r>
        <w:rPr/>
        <w:t>maio</w:t>
      </w:r>
      <w:r>
        <w:rPr>
          <w:spacing w:val="-6"/>
        </w:rPr>
        <w:t> </w:t>
      </w:r>
      <w:r>
        <w:rPr/>
        <w:t>de</w:t>
      </w:r>
      <w:r>
        <w:rPr>
          <w:spacing w:val="-6"/>
        </w:rPr>
        <w:t> </w:t>
      </w:r>
      <w:r>
        <w:rPr/>
        <w:t>2026</w:t>
      </w:r>
      <w:r>
        <w:rPr>
          <w:spacing w:val="-6"/>
        </w:rPr>
        <w:t> </w:t>
      </w:r>
      <w:r>
        <w:rPr/>
        <w:t>em</w:t>
      </w:r>
      <w:r>
        <w:rPr>
          <w:spacing w:val="-6"/>
        </w:rPr>
        <w:t> </w:t>
      </w:r>
      <w:r>
        <w:rPr/>
        <w:t>comparação</w:t>
      </w:r>
      <w:r>
        <w:rPr>
          <w:spacing w:val="-6"/>
        </w:rPr>
        <w:t> </w:t>
      </w:r>
      <w:r>
        <w:rPr/>
        <w:t>com</w:t>
      </w:r>
      <w:r>
        <w:rPr>
          <w:spacing w:val="-6"/>
        </w:rPr>
        <w:t> </w:t>
      </w:r>
      <w:r>
        <w:rPr/>
        <w:t>o</w:t>
      </w:r>
      <w:r>
        <w:rPr>
          <w:spacing w:val="-6"/>
        </w:rPr>
        <w:t> </w:t>
      </w:r>
      <w:r>
        <w:rPr/>
        <w:t>mês</w:t>
      </w:r>
      <w:r>
        <w:rPr>
          <w:spacing w:val="-6"/>
        </w:rPr>
        <w:t> </w:t>
      </w:r>
      <w:r>
        <w:rPr/>
        <w:t>de</w:t>
      </w:r>
      <w:r>
        <w:rPr>
          <w:spacing w:val="-6"/>
        </w:rPr>
        <w:t> </w:t>
      </w:r>
      <w:r>
        <w:rPr/>
        <w:t>abril</w:t>
      </w:r>
      <w:r>
        <w:rPr>
          <w:spacing w:val="-6"/>
        </w:rPr>
        <w:t> </w:t>
      </w:r>
      <w:r>
        <w:rPr/>
        <w:t>de</w:t>
      </w:r>
      <w:r>
        <w:rPr>
          <w:spacing w:val="-6"/>
        </w:rPr>
        <w:t> </w:t>
      </w:r>
      <w:r>
        <w:rPr/>
        <w:t>2026,</w:t>
      </w:r>
      <w:r>
        <w:rPr>
          <w:spacing w:val="-6"/>
        </w:rPr>
        <w:t> </w:t>
      </w:r>
      <w:r>
        <w:rPr/>
        <w:t>com</w:t>
      </w:r>
      <w:r>
        <w:rPr>
          <w:spacing w:val="-6"/>
        </w:rPr>
        <w:t> </w:t>
      </w:r>
      <w:r>
        <w:rPr/>
        <w:t>a apresentação das justificativas para a referida variação.</w:t>
      </w:r>
    </w:p>
    <w:p>
      <w:pPr>
        <w:pStyle w:val="BodyText"/>
        <w:spacing w:before="233"/>
        <w:ind w:left="0"/>
      </w:pPr>
    </w:p>
    <w:p>
      <w:pPr>
        <w:pStyle w:val="Heading2"/>
        <w:numPr>
          <w:ilvl w:val="1"/>
          <w:numId w:val="1"/>
        </w:numPr>
        <w:tabs>
          <w:tab w:pos="599" w:val="left" w:leader="none"/>
        </w:tabs>
        <w:spacing w:line="240" w:lineRule="auto" w:before="1" w:after="0"/>
        <w:ind w:left="599" w:right="0" w:hanging="357"/>
        <w:jc w:val="left"/>
      </w:pPr>
      <w:r>
        <w:rPr/>
        <w:t>-</w:t>
      </w:r>
      <w:r>
        <w:rPr>
          <w:spacing w:val="-9"/>
        </w:rPr>
        <w:t> </w:t>
      </w:r>
      <w:r>
        <w:rPr/>
        <w:t>NEFIL</w:t>
      </w:r>
      <w:r>
        <w:rPr>
          <w:spacing w:val="-9"/>
        </w:rPr>
        <w:t> </w:t>
      </w:r>
      <w:r>
        <w:rPr/>
        <w:t>e</w:t>
      </w:r>
      <w:r>
        <w:rPr>
          <w:spacing w:val="-8"/>
        </w:rPr>
        <w:t> </w:t>
      </w:r>
      <w:r>
        <w:rPr/>
        <w:t>Execução</w:t>
      </w:r>
      <w:r>
        <w:rPr>
          <w:spacing w:val="-9"/>
        </w:rPr>
        <w:t> </w:t>
      </w:r>
      <w:r>
        <w:rPr/>
        <w:t>Orçamentária</w:t>
      </w:r>
      <w:r>
        <w:rPr>
          <w:spacing w:val="-8"/>
        </w:rPr>
        <w:t> </w:t>
      </w:r>
      <w:r>
        <w:rPr/>
        <w:t>–</w:t>
      </w:r>
      <w:r>
        <w:rPr>
          <w:spacing w:val="-9"/>
        </w:rPr>
        <w:t> </w:t>
      </w:r>
      <w:r>
        <w:rPr/>
        <w:t>maio</w:t>
      </w:r>
      <w:r>
        <w:rPr>
          <w:spacing w:val="-8"/>
        </w:rPr>
        <w:t> </w:t>
      </w:r>
      <w:r>
        <w:rPr/>
        <w:t>/</w:t>
      </w:r>
      <w:r>
        <w:rPr>
          <w:spacing w:val="-9"/>
        </w:rPr>
        <w:t> </w:t>
      </w:r>
      <w:r>
        <w:rPr>
          <w:spacing w:val="-4"/>
        </w:rPr>
        <w:t>2026</w:t>
      </w:r>
    </w:p>
    <w:p>
      <w:pPr>
        <w:pStyle w:val="BodyText"/>
        <w:spacing w:before="117"/>
        <w:ind w:left="1649"/>
      </w:pPr>
      <w:r>
        <w:rPr/>
        <w:t>O</w:t>
      </w:r>
      <w:r>
        <w:rPr>
          <w:spacing w:val="-2"/>
        </w:rPr>
        <w:t> </w:t>
      </w:r>
      <w:r>
        <w:rPr/>
        <w:t>Conselho</w:t>
      </w:r>
      <w:r>
        <w:rPr>
          <w:spacing w:val="-1"/>
        </w:rPr>
        <w:t> </w:t>
      </w:r>
      <w:r>
        <w:rPr/>
        <w:t>recebeu</w:t>
      </w:r>
      <w:r>
        <w:rPr>
          <w:spacing w:val="-1"/>
        </w:rPr>
        <w:t> </w:t>
      </w:r>
      <w:r>
        <w:rPr/>
        <w:t>o</w:t>
      </w:r>
      <w:r>
        <w:rPr>
          <w:spacing w:val="-1"/>
        </w:rPr>
        <w:t> </w:t>
      </w:r>
      <w:r>
        <w:rPr/>
        <w:t>NEFIL</w:t>
      </w:r>
      <w:r>
        <w:rPr>
          <w:spacing w:val="-12"/>
        </w:rPr>
        <w:t> </w:t>
      </w:r>
      <w:r>
        <w:rPr/>
        <w:t>e</w:t>
      </w:r>
      <w:r>
        <w:rPr>
          <w:spacing w:val="-1"/>
        </w:rPr>
        <w:t> </w:t>
      </w:r>
      <w:r>
        <w:rPr/>
        <w:t>o</w:t>
      </w:r>
      <w:r>
        <w:rPr>
          <w:spacing w:val="-1"/>
        </w:rPr>
        <w:t> </w:t>
      </w:r>
      <w:r>
        <w:rPr/>
        <w:t>relatório</w:t>
      </w:r>
      <w:r>
        <w:rPr>
          <w:spacing w:val="-1"/>
        </w:rPr>
        <w:t> </w:t>
      </w:r>
      <w:r>
        <w:rPr/>
        <w:t>de</w:t>
      </w:r>
      <w:r>
        <w:rPr>
          <w:spacing w:val="-1"/>
        </w:rPr>
        <w:t> </w:t>
      </w:r>
      <w:r>
        <w:rPr/>
        <w:t>Execução</w:t>
      </w:r>
      <w:r>
        <w:rPr>
          <w:spacing w:val="-1"/>
        </w:rPr>
        <w:t> </w:t>
      </w:r>
      <w:r>
        <w:rPr/>
        <w:t>Orçamentária,</w:t>
      </w:r>
      <w:r>
        <w:rPr>
          <w:spacing w:val="-1"/>
        </w:rPr>
        <w:t> </w:t>
      </w:r>
      <w:r>
        <w:rPr/>
        <w:t>referentes</w:t>
      </w:r>
      <w:r>
        <w:rPr>
          <w:spacing w:val="-1"/>
        </w:rPr>
        <w:t> </w:t>
      </w:r>
      <w:r>
        <w:rPr/>
        <w:t>ao</w:t>
      </w:r>
      <w:r>
        <w:rPr>
          <w:spacing w:val="-1"/>
        </w:rPr>
        <w:t> </w:t>
      </w:r>
      <w:r>
        <w:rPr/>
        <w:t>mês</w:t>
      </w:r>
      <w:r>
        <w:rPr>
          <w:spacing w:val="-1"/>
        </w:rPr>
        <w:t> </w:t>
      </w:r>
      <w:r>
        <w:rPr>
          <w:spacing w:val="-5"/>
        </w:rPr>
        <w:t>de</w:t>
      </w:r>
    </w:p>
    <w:p>
      <w:pPr>
        <w:pStyle w:val="BodyText"/>
        <w:spacing w:line="275" w:lineRule="exact"/>
      </w:pPr>
      <w:r>
        <w:rPr/>
        <w:t>maio</w:t>
      </w:r>
      <w:r>
        <w:rPr>
          <w:spacing w:val="-5"/>
        </w:rPr>
        <w:t> </w:t>
      </w:r>
      <w:r>
        <w:rPr/>
        <w:t>/</w:t>
      </w:r>
      <w:r>
        <w:rPr>
          <w:spacing w:val="-5"/>
        </w:rPr>
        <w:t> </w:t>
      </w:r>
      <w:r>
        <w:rPr>
          <w:spacing w:val="-2"/>
        </w:rPr>
        <w:t>2026.</w:t>
      </w:r>
    </w:p>
    <w:p>
      <w:pPr>
        <w:pStyle w:val="BodyText"/>
        <w:spacing w:before="235"/>
        <w:ind w:left="0"/>
      </w:pPr>
    </w:p>
    <w:p>
      <w:pPr>
        <w:pStyle w:val="Heading2"/>
        <w:numPr>
          <w:ilvl w:val="1"/>
          <w:numId w:val="1"/>
        </w:numPr>
        <w:tabs>
          <w:tab w:pos="599" w:val="left" w:leader="none"/>
        </w:tabs>
        <w:spacing w:line="240" w:lineRule="auto" w:before="0" w:after="0"/>
        <w:ind w:left="599" w:right="0" w:hanging="357"/>
        <w:jc w:val="left"/>
      </w:pPr>
      <w:r>
        <w:rPr/>
        <w:t>-</w:t>
      </w:r>
      <w:r>
        <w:rPr>
          <w:spacing w:val="-6"/>
        </w:rPr>
        <w:t> </w:t>
      </w:r>
      <w:r>
        <w:rPr/>
        <w:t>Juros</w:t>
      </w:r>
      <w:r>
        <w:rPr>
          <w:spacing w:val="-5"/>
        </w:rPr>
        <w:t> </w:t>
      </w:r>
      <w:r>
        <w:rPr/>
        <w:t>e</w:t>
      </w:r>
      <w:r>
        <w:rPr>
          <w:spacing w:val="-5"/>
        </w:rPr>
        <w:t> </w:t>
      </w:r>
      <w:r>
        <w:rPr/>
        <w:t>Multas</w:t>
      </w:r>
      <w:r>
        <w:rPr>
          <w:spacing w:val="-5"/>
        </w:rPr>
        <w:t> </w:t>
      </w:r>
      <w:r>
        <w:rPr/>
        <w:t>–</w:t>
      </w:r>
      <w:r>
        <w:rPr>
          <w:spacing w:val="-6"/>
        </w:rPr>
        <w:t> </w:t>
      </w:r>
      <w:r>
        <w:rPr/>
        <w:t>maio</w:t>
      </w:r>
      <w:r>
        <w:rPr>
          <w:spacing w:val="-5"/>
        </w:rPr>
        <w:t> </w:t>
      </w:r>
      <w:r>
        <w:rPr/>
        <w:t>/</w:t>
      </w:r>
      <w:r>
        <w:rPr>
          <w:spacing w:val="-5"/>
        </w:rPr>
        <w:t> </w:t>
      </w:r>
      <w:r>
        <w:rPr>
          <w:spacing w:val="-4"/>
        </w:rPr>
        <w:t>2026</w:t>
      </w:r>
    </w:p>
    <w:p>
      <w:pPr>
        <w:pStyle w:val="BodyText"/>
        <w:spacing w:before="117"/>
        <w:ind w:right="245" w:firstLine="1406"/>
      </w:pPr>
      <w:r>
        <w:rPr/>
        <w:t>O Conselho recebeu o relatório contendo o</w:t>
      </w:r>
      <w:r>
        <w:rPr>
          <w:spacing w:val="-11"/>
        </w:rPr>
        <w:t> </w:t>
      </w:r>
      <w:r>
        <w:rPr/>
        <w:t>acompanhamento da apuração de juros e multas do mês de maio / 2026.</w:t>
      </w:r>
    </w:p>
    <w:p>
      <w:pPr>
        <w:pStyle w:val="BodyText"/>
        <w:spacing w:before="233"/>
        <w:ind w:left="0"/>
      </w:pPr>
    </w:p>
    <w:p>
      <w:pPr>
        <w:pStyle w:val="Heading2"/>
        <w:numPr>
          <w:ilvl w:val="1"/>
          <w:numId w:val="1"/>
        </w:numPr>
        <w:tabs>
          <w:tab w:pos="599" w:val="left" w:leader="none"/>
        </w:tabs>
        <w:spacing w:line="240" w:lineRule="auto" w:before="0" w:after="0"/>
        <w:ind w:left="599" w:right="0" w:hanging="357"/>
        <w:jc w:val="left"/>
      </w:pPr>
      <w:r>
        <w:rPr/>
        <w:t>-</w:t>
      </w:r>
      <w:r>
        <w:rPr>
          <w:spacing w:val="-13"/>
        </w:rPr>
        <w:t> </w:t>
      </w:r>
      <w:r>
        <w:rPr/>
        <w:t>Demonstrativo</w:t>
      </w:r>
      <w:r>
        <w:rPr>
          <w:spacing w:val="-12"/>
        </w:rPr>
        <w:t> </w:t>
      </w:r>
      <w:r>
        <w:rPr/>
        <w:t>de</w:t>
      </w:r>
      <w:r>
        <w:rPr>
          <w:spacing w:val="-12"/>
        </w:rPr>
        <w:t> </w:t>
      </w:r>
      <w:r>
        <w:rPr/>
        <w:t>rendimento</w:t>
      </w:r>
      <w:r>
        <w:rPr>
          <w:spacing w:val="-13"/>
        </w:rPr>
        <w:t> </w:t>
      </w:r>
      <w:r>
        <w:rPr/>
        <w:t>das</w:t>
      </w:r>
      <w:r>
        <w:rPr>
          <w:spacing w:val="-12"/>
        </w:rPr>
        <w:t> </w:t>
      </w:r>
      <w:r>
        <w:rPr/>
        <w:t>aplicações</w:t>
      </w:r>
      <w:r>
        <w:rPr>
          <w:spacing w:val="-12"/>
        </w:rPr>
        <w:t> </w:t>
      </w:r>
      <w:r>
        <w:rPr/>
        <w:t>financeiras</w:t>
      </w:r>
      <w:r>
        <w:rPr>
          <w:spacing w:val="-12"/>
        </w:rPr>
        <w:t> </w:t>
      </w:r>
      <w:r>
        <w:rPr/>
        <w:t>–</w:t>
      </w:r>
      <w:r>
        <w:rPr>
          <w:spacing w:val="-13"/>
        </w:rPr>
        <w:t> </w:t>
      </w:r>
      <w:r>
        <w:rPr/>
        <w:t>junho/</w:t>
      </w:r>
      <w:r>
        <w:rPr>
          <w:spacing w:val="-12"/>
        </w:rPr>
        <w:t> </w:t>
      </w:r>
      <w:r>
        <w:rPr>
          <w:spacing w:val="-4"/>
        </w:rPr>
        <w:t>2026</w:t>
      </w:r>
    </w:p>
    <w:p>
      <w:pPr>
        <w:pStyle w:val="BodyText"/>
        <w:spacing w:before="118"/>
        <w:ind w:left="1649"/>
      </w:pPr>
      <w:r>
        <w:rPr/>
        <w:t>O</w:t>
      </w:r>
      <w:r>
        <w:rPr>
          <w:spacing w:val="23"/>
        </w:rPr>
        <w:t> </w:t>
      </w:r>
      <w:r>
        <w:rPr/>
        <w:t>Conselho</w:t>
      </w:r>
      <w:r>
        <w:rPr>
          <w:spacing w:val="23"/>
        </w:rPr>
        <w:t> </w:t>
      </w:r>
      <w:r>
        <w:rPr/>
        <w:t>recebeu</w:t>
      </w:r>
      <w:r>
        <w:rPr>
          <w:spacing w:val="23"/>
        </w:rPr>
        <w:t> </w:t>
      </w:r>
      <w:r>
        <w:rPr/>
        <w:t>o</w:t>
      </w:r>
      <w:r>
        <w:rPr>
          <w:spacing w:val="23"/>
        </w:rPr>
        <w:t> </w:t>
      </w:r>
      <w:r>
        <w:rPr/>
        <w:t>Demonstrativo</w:t>
      </w:r>
      <w:r>
        <w:rPr>
          <w:spacing w:val="23"/>
        </w:rPr>
        <w:t> </w:t>
      </w:r>
      <w:r>
        <w:rPr/>
        <w:t>de</w:t>
      </w:r>
      <w:r>
        <w:rPr>
          <w:spacing w:val="23"/>
        </w:rPr>
        <w:t> </w:t>
      </w:r>
      <w:r>
        <w:rPr/>
        <w:t>rendimento</w:t>
      </w:r>
      <w:r>
        <w:rPr>
          <w:spacing w:val="23"/>
        </w:rPr>
        <w:t> </w:t>
      </w:r>
      <w:r>
        <w:rPr/>
        <w:t>das</w:t>
      </w:r>
      <w:r>
        <w:rPr>
          <w:spacing w:val="24"/>
        </w:rPr>
        <w:t> </w:t>
      </w:r>
      <w:r>
        <w:rPr/>
        <w:t>aplicações</w:t>
      </w:r>
      <w:r>
        <w:rPr>
          <w:spacing w:val="23"/>
        </w:rPr>
        <w:t> </w:t>
      </w:r>
      <w:r>
        <w:rPr/>
        <w:t>financeiras</w:t>
      </w:r>
      <w:r>
        <w:rPr>
          <w:spacing w:val="23"/>
        </w:rPr>
        <w:t> </w:t>
      </w:r>
      <w:r>
        <w:rPr/>
        <w:t>–</w:t>
      </w:r>
      <w:r>
        <w:rPr>
          <w:spacing w:val="23"/>
        </w:rPr>
        <w:t> </w:t>
      </w:r>
      <w:r>
        <w:rPr/>
        <w:t>junho</w:t>
      </w:r>
      <w:r>
        <w:rPr>
          <w:spacing w:val="23"/>
        </w:rPr>
        <w:t> </w:t>
      </w:r>
      <w:r>
        <w:rPr>
          <w:spacing w:val="-10"/>
        </w:rPr>
        <w:t>/</w:t>
      </w:r>
    </w:p>
    <w:p>
      <w:pPr>
        <w:pStyle w:val="BodyText"/>
        <w:spacing w:line="274" w:lineRule="exact"/>
      </w:pPr>
      <w:r>
        <w:rPr>
          <w:spacing w:val="-2"/>
        </w:rPr>
        <w:t>2026.</w:t>
      </w:r>
    </w:p>
    <w:p>
      <w:pPr>
        <w:pStyle w:val="BodyText"/>
        <w:spacing w:before="235"/>
        <w:ind w:left="0"/>
      </w:pPr>
    </w:p>
    <w:p>
      <w:pPr>
        <w:pStyle w:val="Heading2"/>
        <w:numPr>
          <w:ilvl w:val="1"/>
          <w:numId w:val="1"/>
        </w:numPr>
        <w:tabs>
          <w:tab w:pos="599" w:val="left" w:leader="none"/>
        </w:tabs>
        <w:spacing w:line="240" w:lineRule="auto" w:before="0" w:after="0"/>
        <w:ind w:left="599" w:right="0" w:hanging="357"/>
        <w:jc w:val="both"/>
      </w:pPr>
      <w:r>
        <w:rPr/>
        <w:t>-</w:t>
      </w:r>
      <w:r>
        <w:rPr>
          <w:spacing w:val="-9"/>
        </w:rPr>
        <w:t> </w:t>
      </w:r>
      <w:r>
        <w:rPr/>
        <w:t>Certidões</w:t>
      </w:r>
      <w:r>
        <w:rPr>
          <w:spacing w:val="-9"/>
        </w:rPr>
        <w:t> </w:t>
      </w:r>
      <w:r>
        <w:rPr/>
        <w:t>de</w:t>
      </w:r>
      <w:r>
        <w:rPr>
          <w:spacing w:val="-9"/>
        </w:rPr>
        <w:t> </w:t>
      </w:r>
      <w:r>
        <w:rPr/>
        <w:t>Regularidade</w:t>
      </w:r>
      <w:r>
        <w:rPr>
          <w:spacing w:val="-8"/>
        </w:rPr>
        <w:t> </w:t>
      </w:r>
      <w:r>
        <w:rPr/>
        <w:t>-</w:t>
      </w:r>
      <w:r>
        <w:rPr>
          <w:spacing w:val="-9"/>
        </w:rPr>
        <w:t> </w:t>
      </w:r>
      <w:r>
        <w:rPr/>
        <w:t>julho</w:t>
      </w:r>
      <w:r>
        <w:rPr>
          <w:spacing w:val="-9"/>
        </w:rPr>
        <w:t> </w:t>
      </w:r>
      <w:r>
        <w:rPr/>
        <w:t>/</w:t>
      </w:r>
      <w:r>
        <w:rPr>
          <w:spacing w:val="-8"/>
        </w:rPr>
        <w:t> </w:t>
      </w:r>
      <w:r>
        <w:rPr>
          <w:spacing w:val="-4"/>
        </w:rPr>
        <w:t>2026</w:t>
      </w:r>
    </w:p>
    <w:p>
      <w:pPr>
        <w:pStyle w:val="BodyText"/>
        <w:spacing w:before="117"/>
        <w:ind w:right="240" w:firstLine="1406"/>
        <w:jc w:val="both"/>
      </w:pPr>
      <w:r>
        <w:rPr/>
        <w:t>O Conselho recebeu as certidões municipais, estaduais e federais solicitadas, expedidas no mês de julho/2026.</w:t>
      </w:r>
    </w:p>
    <w:p>
      <w:pPr>
        <w:pStyle w:val="BodyText"/>
        <w:spacing w:before="116"/>
        <w:ind w:right="246" w:firstLine="1406"/>
        <w:jc w:val="both"/>
      </w:pPr>
      <w:r>
        <w:rPr/>
        <w:t>O Conselho recomenda que a Diretoria promova, com a máxima urgência, a regularização das</w:t>
      </w:r>
      <w:r>
        <w:rPr>
          <w:spacing w:val="-6"/>
        </w:rPr>
        <w:t> </w:t>
      </w:r>
      <w:r>
        <w:rPr/>
        <w:t>certidões</w:t>
      </w:r>
      <w:r>
        <w:rPr>
          <w:spacing w:val="-6"/>
        </w:rPr>
        <w:t> </w:t>
      </w:r>
      <w:r>
        <w:rPr/>
        <w:t>de</w:t>
      </w:r>
      <w:r>
        <w:rPr>
          <w:spacing w:val="-6"/>
        </w:rPr>
        <w:t> </w:t>
      </w:r>
      <w:r>
        <w:rPr/>
        <w:t>regularidade</w:t>
      </w:r>
      <w:r>
        <w:rPr>
          <w:spacing w:val="-5"/>
        </w:rPr>
        <w:t> </w:t>
      </w:r>
      <w:r>
        <w:rPr/>
        <w:t>fiscal</w:t>
      </w:r>
      <w:r>
        <w:rPr>
          <w:spacing w:val="-6"/>
        </w:rPr>
        <w:t> </w:t>
      </w:r>
      <w:r>
        <w:rPr/>
        <w:t>junto</w:t>
      </w:r>
      <w:r>
        <w:rPr>
          <w:spacing w:val="-5"/>
        </w:rPr>
        <w:t> </w:t>
      </w:r>
      <w:r>
        <w:rPr/>
        <w:t>aos</w:t>
      </w:r>
      <w:r>
        <w:rPr>
          <w:spacing w:val="-5"/>
        </w:rPr>
        <w:t> </w:t>
      </w:r>
      <w:r>
        <w:rPr/>
        <w:t>órgãos</w:t>
      </w:r>
      <w:r>
        <w:rPr>
          <w:spacing w:val="-5"/>
        </w:rPr>
        <w:t> </w:t>
      </w:r>
      <w:r>
        <w:rPr/>
        <w:t>Municipal,</w:t>
      </w:r>
      <w:r>
        <w:rPr>
          <w:spacing w:val="-5"/>
        </w:rPr>
        <w:t> </w:t>
      </w:r>
      <w:r>
        <w:rPr/>
        <w:t>Estadual</w:t>
      </w:r>
      <w:r>
        <w:rPr>
          <w:spacing w:val="-6"/>
        </w:rPr>
        <w:t> </w:t>
      </w:r>
      <w:r>
        <w:rPr/>
        <w:t>e</w:t>
      </w:r>
      <w:r>
        <w:rPr>
          <w:spacing w:val="-5"/>
        </w:rPr>
        <w:t> </w:t>
      </w:r>
      <w:r>
        <w:rPr/>
        <w:t>Federal,</w:t>
      </w:r>
      <w:r>
        <w:rPr>
          <w:spacing w:val="-5"/>
        </w:rPr>
        <w:t> </w:t>
      </w:r>
      <w:r>
        <w:rPr/>
        <w:t>em</w:t>
      </w:r>
      <w:r>
        <w:rPr>
          <w:spacing w:val="-6"/>
        </w:rPr>
        <w:t> </w:t>
      </w:r>
      <w:r>
        <w:rPr/>
        <w:t>especial</w:t>
      </w:r>
      <w:r>
        <w:rPr>
          <w:spacing w:val="-6"/>
        </w:rPr>
        <w:t> </w:t>
      </w:r>
      <w:r>
        <w:rPr/>
        <w:t>da</w:t>
      </w:r>
      <w:r>
        <w:rPr>
          <w:spacing w:val="-5"/>
        </w:rPr>
        <w:t> </w:t>
      </w:r>
      <w:r>
        <w:rPr/>
        <w:t>certidão relativa ao IPTU nºs 186731-8 e 539771-5, solicitando que seja esclarecido qual o setor responsável pela regularização dessa certidão dos IPTU.</w:t>
      </w:r>
    </w:p>
    <w:p>
      <w:pPr>
        <w:pStyle w:val="BodyText"/>
        <w:spacing w:before="230"/>
        <w:ind w:left="0"/>
      </w:pPr>
    </w:p>
    <w:p>
      <w:pPr>
        <w:pStyle w:val="Heading2"/>
        <w:numPr>
          <w:ilvl w:val="1"/>
          <w:numId w:val="1"/>
        </w:numPr>
        <w:tabs>
          <w:tab w:pos="599" w:val="left" w:leader="none"/>
        </w:tabs>
        <w:spacing w:line="240" w:lineRule="auto" w:before="0" w:after="0"/>
        <w:ind w:left="599" w:right="0" w:hanging="357"/>
        <w:jc w:val="both"/>
      </w:pPr>
      <w:r>
        <w:rPr/>
        <w:t>-</w:t>
      </w:r>
      <w:r>
        <w:rPr>
          <w:spacing w:val="-9"/>
        </w:rPr>
        <w:t> </w:t>
      </w:r>
      <w:r>
        <w:rPr/>
        <w:t>Relatórios</w:t>
      </w:r>
      <w:r>
        <w:rPr>
          <w:spacing w:val="-8"/>
        </w:rPr>
        <w:t> </w:t>
      </w:r>
      <w:r>
        <w:rPr/>
        <w:t>Gerenciais</w:t>
      </w:r>
      <w:r>
        <w:rPr>
          <w:spacing w:val="-8"/>
        </w:rPr>
        <w:t> </w:t>
      </w:r>
      <w:r>
        <w:rPr/>
        <w:t>–</w:t>
      </w:r>
      <w:r>
        <w:rPr>
          <w:spacing w:val="-8"/>
        </w:rPr>
        <w:t> </w:t>
      </w:r>
      <w:r>
        <w:rPr/>
        <w:t>maio</w:t>
      </w:r>
      <w:r>
        <w:rPr>
          <w:spacing w:val="-8"/>
        </w:rPr>
        <w:t> </w:t>
      </w:r>
      <w:r>
        <w:rPr/>
        <w:t>e</w:t>
      </w:r>
      <w:r>
        <w:rPr>
          <w:spacing w:val="-8"/>
        </w:rPr>
        <w:t> </w:t>
      </w:r>
      <w:r>
        <w:rPr/>
        <w:t>junho</w:t>
      </w:r>
      <w:r>
        <w:rPr>
          <w:spacing w:val="-8"/>
        </w:rPr>
        <w:t> </w:t>
      </w:r>
      <w:r>
        <w:rPr/>
        <w:t>/</w:t>
      </w:r>
      <w:r>
        <w:rPr>
          <w:spacing w:val="-8"/>
        </w:rPr>
        <w:t> </w:t>
      </w:r>
      <w:r>
        <w:rPr>
          <w:spacing w:val="-4"/>
        </w:rPr>
        <w:t>2026</w:t>
      </w:r>
    </w:p>
    <w:p>
      <w:pPr>
        <w:pStyle w:val="BodyText"/>
        <w:spacing w:before="117"/>
        <w:ind w:right="249" w:firstLine="1406"/>
        <w:jc w:val="both"/>
      </w:pPr>
      <w:r>
        <w:rPr/>
        <w:t>O Conselho tomou conhecimento dos Relatórios Gerenciais, referentes aos meses de maio e junho de 2026.</w:t>
      </w:r>
    </w:p>
    <w:p>
      <w:pPr>
        <w:pStyle w:val="BodyText"/>
        <w:spacing w:before="233"/>
        <w:ind w:left="0"/>
      </w:pPr>
    </w:p>
    <w:p>
      <w:pPr>
        <w:pStyle w:val="Heading2"/>
        <w:numPr>
          <w:ilvl w:val="1"/>
          <w:numId w:val="1"/>
        </w:numPr>
        <w:tabs>
          <w:tab w:pos="671" w:val="left" w:leader="none"/>
        </w:tabs>
        <w:spacing w:line="240" w:lineRule="auto" w:before="1" w:after="0"/>
        <w:ind w:left="242" w:right="248" w:firstLine="0"/>
        <w:jc w:val="both"/>
      </w:pPr>
      <w:r>
        <w:rPr/>
        <w:t>- Atas da 2548ª a 2550ª Reuniões Ordinárias e 99ª Reunião Extraordinário da DIREXE, realizadas em maio e junho /2026</w:t>
      </w:r>
    </w:p>
    <w:p>
      <w:pPr>
        <w:pStyle w:val="BodyText"/>
        <w:spacing w:before="115"/>
        <w:ind w:right="242" w:firstLine="1406"/>
        <w:jc w:val="both"/>
      </w:pPr>
      <w:r>
        <w:rPr/>
        <w:t>Os Conselheiros analisaram as atas das 2548ª a 2550ª Reuniões Ordinárias e 99ª Reunião Extraordinária da DIREXE, realizadas em maio e junho/2026.</w:t>
      </w:r>
    </w:p>
    <w:p>
      <w:pPr>
        <w:pStyle w:val="BodyText"/>
        <w:spacing w:before="116"/>
        <w:ind w:right="242" w:firstLine="1406"/>
        <w:jc w:val="both"/>
      </w:pPr>
      <w:r>
        <w:rPr/>
        <w:t>Com relação à Ata 2548ª da DIREXE, Decisão nº 093/2026, que trata da alteração do planejamento orçamentário 2026, visando o aumento do valor disponibilizado em mais R$ 3.291,097,80, visando a prorrogação do Contrato nº 055/2025, cujo objeto consiste na prestação de serviços de mão de obra</w:t>
      </w:r>
      <w:r>
        <w:rPr>
          <w:spacing w:val="-1"/>
        </w:rPr>
        <w:t> </w:t>
      </w:r>
      <w:r>
        <w:rPr/>
        <w:t>terceirizada,</w:t>
      </w:r>
      <w:r>
        <w:rPr>
          <w:spacing w:val="-1"/>
        </w:rPr>
        <w:t> </w:t>
      </w:r>
      <w:r>
        <w:rPr/>
        <w:t>para</w:t>
      </w:r>
      <w:r>
        <w:rPr>
          <w:spacing w:val="-1"/>
        </w:rPr>
        <w:t> </w:t>
      </w:r>
      <w:r>
        <w:rPr/>
        <w:t>prestação</w:t>
      </w:r>
      <w:r>
        <w:rPr>
          <w:spacing w:val="-1"/>
        </w:rPr>
        <w:t> </w:t>
      </w:r>
      <w:r>
        <w:rPr/>
        <w:t>de</w:t>
      </w:r>
      <w:r>
        <w:rPr>
          <w:spacing w:val="-1"/>
        </w:rPr>
        <w:t> </w:t>
      </w:r>
      <w:r>
        <w:rPr/>
        <w:t>serviços</w:t>
      </w:r>
      <w:r>
        <w:rPr>
          <w:spacing w:val="-1"/>
        </w:rPr>
        <w:t> </w:t>
      </w:r>
      <w:r>
        <w:rPr/>
        <w:t>de</w:t>
      </w:r>
      <w:r>
        <w:rPr>
          <w:spacing w:val="-1"/>
        </w:rPr>
        <w:t> </w:t>
      </w:r>
      <w:r>
        <w:rPr/>
        <w:t>apoio</w:t>
      </w:r>
      <w:r>
        <w:rPr>
          <w:spacing w:val="-1"/>
        </w:rPr>
        <w:t> </w:t>
      </w:r>
      <w:r>
        <w:rPr/>
        <w:t>administrativo, em</w:t>
      </w:r>
      <w:r>
        <w:rPr>
          <w:spacing w:val="-1"/>
        </w:rPr>
        <w:t> </w:t>
      </w:r>
      <w:r>
        <w:rPr/>
        <w:t>caráter subsidiário, em</w:t>
      </w:r>
      <w:r>
        <w:rPr>
          <w:spacing w:val="-1"/>
        </w:rPr>
        <w:t> </w:t>
      </w:r>
      <w:r>
        <w:rPr/>
        <w:t>atividades meio, no âmbito da Companhia Docas do Ceará, o Conselho solicitou a presença do gestor responsável pelo contrato. A Sra. Julia Pinheiro Sá Bezerra Martins, Coordenadora de Administração, compareceu à reunião</w:t>
      </w:r>
      <w:r>
        <w:rPr>
          <w:spacing w:val="-8"/>
        </w:rPr>
        <w:t> </w:t>
      </w:r>
      <w:r>
        <w:rPr/>
        <w:t>e</w:t>
      </w:r>
      <w:r>
        <w:rPr>
          <w:spacing w:val="-8"/>
        </w:rPr>
        <w:t> </w:t>
      </w:r>
      <w:r>
        <w:rPr/>
        <w:t>informou</w:t>
      </w:r>
      <w:r>
        <w:rPr>
          <w:spacing w:val="-8"/>
        </w:rPr>
        <w:t> </w:t>
      </w:r>
      <w:r>
        <w:rPr/>
        <w:t>que</w:t>
      </w:r>
      <w:r>
        <w:rPr>
          <w:spacing w:val="-8"/>
        </w:rPr>
        <w:t> </w:t>
      </w:r>
      <w:r>
        <w:rPr/>
        <w:t>o</w:t>
      </w:r>
      <w:r>
        <w:rPr>
          <w:spacing w:val="-8"/>
        </w:rPr>
        <w:t> </w:t>
      </w:r>
      <w:r>
        <w:rPr/>
        <w:t>acréscimo</w:t>
      </w:r>
      <w:r>
        <w:rPr>
          <w:spacing w:val="-8"/>
        </w:rPr>
        <w:t> </w:t>
      </w:r>
      <w:r>
        <w:rPr/>
        <w:t>da</w:t>
      </w:r>
      <w:r>
        <w:rPr>
          <w:spacing w:val="-8"/>
        </w:rPr>
        <w:t> </w:t>
      </w:r>
      <w:r>
        <w:rPr/>
        <w:t>demanda</w:t>
      </w:r>
      <w:r>
        <w:rPr>
          <w:spacing w:val="-8"/>
        </w:rPr>
        <w:t> </w:t>
      </w:r>
      <w:r>
        <w:rPr/>
        <w:t>foi</w:t>
      </w:r>
      <w:r>
        <w:rPr>
          <w:spacing w:val="-8"/>
        </w:rPr>
        <w:t> </w:t>
      </w:r>
      <w:r>
        <w:rPr/>
        <w:t>fundamentado</w:t>
      </w:r>
      <w:r>
        <w:rPr>
          <w:spacing w:val="-8"/>
        </w:rPr>
        <w:t> </w:t>
      </w:r>
      <w:r>
        <w:rPr/>
        <w:t>em</w:t>
      </w:r>
      <w:r>
        <w:rPr>
          <w:spacing w:val="-8"/>
        </w:rPr>
        <w:t> </w:t>
      </w:r>
      <w:r>
        <w:rPr/>
        <w:t>estudo</w:t>
      </w:r>
      <w:r>
        <w:rPr>
          <w:spacing w:val="-8"/>
        </w:rPr>
        <w:t> </w:t>
      </w:r>
      <w:r>
        <w:rPr/>
        <w:t>que</w:t>
      </w:r>
      <w:r>
        <w:rPr>
          <w:spacing w:val="-8"/>
        </w:rPr>
        <w:t> </w:t>
      </w:r>
      <w:r>
        <w:rPr/>
        <w:t>identificou</w:t>
      </w:r>
      <w:r>
        <w:rPr>
          <w:spacing w:val="-8"/>
        </w:rPr>
        <w:t> </w:t>
      </w:r>
      <w:r>
        <w:rPr/>
        <w:t>a</w:t>
      </w:r>
      <w:r>
        <w:rPr>
          <w:spacing w:val="-8"/>
        </w:rPr>
        <w:t> </w:t>
      </w:r>
      <w:r>
        <w:rPr/>
        <w:t>necessidade de</w:t>
      </w:r>
      <w:r>
        <w:rPr>
          <w:spacing w:val="-4"/>
        </w:rPr>
        <w:t> </w:t>
      </w:r>
      <w:r>
        <w:rPr/>
        <w:t>ampliação</w:t>
      </w:r>
      <w:r>
        <w:rPr>
          <w:spacing w:val="-4"/>
        </w:rPr>
        <w:t> </w:t>
      </w:r>
      <w:r>
        <w:rPr/>
        <w:t>da</w:t>
      </w:r>
      <w:r>
        <w:rPr>
          <w:spacing w:val="-4"/>
        </w:rPr>
        <w:t> </w:t>
      </w:r>
      <w:r>
        <w:rPr/>
        <w:t>prestação</w:t>
      </w:r>
      <w:r>
        <w:rPr>
          <w:spacing w:val="-4"/>
        </w:rPr>
        <w:t> </w:t>
      </w:r>
      <w:r>
        <w:rPr/>
        <w:t>dos</w:t>
      </w:r>
      <w:r>
        <w:rPr>
          <w:spacing w:val="-4"/>
        </w:rPr>
        <w:t> </w:t>
      </w:r>
      <w:r>
        <w:rPr/>
        <w:t>serviços</w:t>
      </w:r>
      <w:r>
        <w:rPr>
          <w:spacing w:val="-4"/>
        </w:rPr>
        <w:t> </w:t>
      </w:r>
      <w:r>
        <w:rPr/>
        <w:t>em</w:t>
      </w:r>
      <w:r>
        <w:rPr>
          <w:spacing w:val="-4"/>
        </w:rPr>
        <w:t> </w:t>
      </w:r>
      <w:r>
        <w:rPr/>
        <w:t>todas</w:t>
      </w:r>
      <w:r>
        <w:rPr>
          <w:spacing w:val="-4"/>
        </w:rPr>
        <w:t> </w:t>
      </w:r>
      <w:r>
        <w:rPr/>
        <w:t>as</w:t>
      </w:r>
      <w:r>
        <w:rPr>
          <w:spacing w:val="-4"/>
        </w:rPr>
        <w:t> </w:t>
      </w:r>
      <w:r>
        <w:rPr/>
        <w:t>áreas</w:t>
      </w:r>
      <w:r>
        <w:rPr>
          <w:spacing w:val="-4"/>
        </w:rPr>
        <w:t> </w:t>
      </w:r>
      <w:r>
        <w:rPr/>
        <w:t>da</w:t>
      </w:r>
      <w:r>
        <w:rPr>
          <w:spacing w:val="-4"/>
        </w:rPr>
        <w:t> </w:t>
      </w:r>
      <w:r>
        <w:rPr/>
        <w:t>Companhia.</w:t>
      </w:r>
      <w:r>
        <w:rPr>
          <w:spacing w:val="-4"/>
        </w:rPr>
        <w:t> </w:t>
      </w:r>
      <w:r>
        <w:rPr/>
        <w:t>Esclareceu,</w:t>
      </w:r>
      <w:r>
        <w:rPr>
          <w:spacing w:val="-4"/>
        </w:rPr>
        <w:t> </w:t>
      </w:r>
      <w:r>
        <w:rPr/>
        <w:t>ainda,</w:t>
      </w:r>
      <w:r>
        <w:rPr>
          <w:spacing w:val="-4"/>
        </w:rPr>
        <w:t> </w:t>
      </w:r>
      <w:r>
        <w:rPr/>
        <w:t>que</w:t>
      </w:r>
      <w:r>
        <w:rPr>
          <w:spacing w:val="-4"/>
        </w:rPr>
        <w:t> </w:t>
      </w:r>
      <w:r>
        <w:rPr/>
        <w:t>o</w:t>
      </w:r>
      <w:r>
        <w:rPr>
          <w:spacing w:val="-4"/>
        </w:rPr>
        <w:t> </w:t>
      </w:r>
      <w:r>
        <w:rPr/>
        <w:t>processo está instruído com nota técnica e parecer jurídico, encontrando-se em conformidade. Após os esclarecimentos e considerando a fragilidade da justificativa apresentada na nota técnica, o Conselho recomenda à Diretoria a realização de estudo abrangente para o dimensionamento da força de trabalho da Companhia,</w:t>
      </w:r>
      <w:r>
        <w:rPr>
          <w:spacing w:val="-1"/>
        </w:rPr>
        <w:t> </w:t>
      </w:r>
      <w:r>
        <w:rPr/>
        <w:t>contemplando</w:t>
      </w:r>
      <w:r>
        <w:rPr>
          <w:spacing w:val="-1"/>
        </w:rPr>
        <w:t> </w:t>
      </w:r>
      <w:r>
        <w:rPr/>
        <w:t>a</w:t>
      </w:r>
      <w:r>
        <w:rPr>
          <w:spacing w:val="-1"/>
        </w:rPr>
        <w:t> </w:t>
      </w:r>
      <w:r>
        <w:rPr/>
        <w:t>identificação</w:t>
      </w:r>
      <w:r>
        <w:rPr>
          <w:spacing w:val="-1"/>
        </w:rPr>
        <w:t> </w:t>
      </w:r>
      <w:r>
        <w:rPr/>
        <w:t>das</w:t>
      </w:r>
      <w:r>
        <w:rPr>
          <w:spacing w:val="-1"/>
        </w:rPr>
        <w:t> </w:t>
      </w:r>
      <w:r>
        <w:rPr/>
        <w:t>necessidades</w:t>
      </w:r>
      <w:r>
        <w:rPr>
          <w:spacing w:val="-1"/>
        </w:rPr>
        <w:t> </w:t>
      </w:r>
      <w:r>
        <w:rPr/>
        <w:t>de</w:t>
      </w:r>
      <w:r>
        <w:rPr>
          <w:spacing w:val="-1"/>
        </w:rPr>
        <w:t> </w:t>
      </w:r>
      <w:r>
        <w:rPr/>
        <w:t>pessoal</w:t>
      </w:r>
      <w:r>
        <w:rPr>
          <w:spacing w:val="-1"/>
        </w:rPr>
        <w:t> </w:t>
      </w:r>
      <w:r>
        <w:rPr/>
        <w:t>por</w:t>
      </w:r>
      <w:r>
        <w:rPr>
          <w:spacing w:val="-1"/>
        </w:rPr>
        <w:t> </w:t>
      </w:r>
      <w:r>
        <w:rPr/>
        <w:t>área,</w:t>
      </w:r>
      <w:r>
        <w:rPr>
          <w:spacing w:val="-1"/>
        </w:rPr>
        <w:t> </w:t>
      </w:r>
      <w:r>
        <w:rPr/>
        <w:t>bem</w:t>
      </w:r>
      <w:r>
        <w:rPr>
          <w:spacing w:val="-1"/>
        </w:rPr>
        <w:t> </w:t>
      </w:r>
      <w:r>
        <w:rPr/>
        <w:t>como</w:t>
      </w:r>
      <w:r>
        <w:rPr>
          <w:spacing w:val="-1"/>
        </w:rPr>
        <w:t> </w:t>
      </w:r>
      <w:r>
        <w:rPr/>
        <w:t>a</w:t>
      </w:r>
      <w:r>
        <w:rPr>
          <w:spacing w:val="-1"/>
        </w:rPr>
        <w:t> </w:t>
      </w:r>
      <w:r>
        <w:rPr/>
        <w:t>definição</w:t>
      </w:r>
      <w:r>
        <w:rPr>
          <w:spacing w:val="-1"/>
        </w:rPr>
        <w:t> </w:t>
      </w:r>
      <w:r>
        <w:rPr/>
        <w:t>das atividades que podem ser desempenhadas por empregados terceirizados e daquelas que devem ser executadas pelo quadro efetivo.</w:t>
      </w:r>
    </w:p>
    <w:p>
      <w:pPr>
        <w:pStyle w:val="BodyText"/>
        <w:spacing w:before="95"/>
        <w:ind w:right="240" w:firstLine="1406"/>
        <w:jc w:val="both"/>
      </w:pPr>
      <w:r>
        <w:rPr/>
        <w:t>Com relação à Ata 2550ª da DIREXE, Decisão nº 101/2026, que trata da alteração do planejamento</w:t>
      </w:r>
      <w:r>
        <w:rPr>
          <w:spacing w:val="-7"/>
        </w:rPr>
        <w:t> </w:t>
      </w:r>
      <w:r>
        <w:rPr/>
        <w:t>orçamentário</w:t>
      </w:r>
      <w:r>
        <w:rPr>
          <w:spacing w:val="-7"/>
        </w:rPr>
        <w:t> </w:t>
      </w:r>
      <w:r>
        <w:rPr/>
        <w:t>2026,</w:t>
      </w:r>
      <w:r>
        <w:rPr>
          <w:spacing w:val="-7"/>
        </w:rPr>
        <w:t> </w:t>
      </w:r>
      <w:r>
        <w:rPr/>
        <w:t>visando</w:t>
      </w:r>
      <w:r>
        <w:rPr>
          <w:spacing w:val="-7"/>
        </w:rPr>
        <w:t> </w:t>
      </w:r>
      <w:r>
        <w:rPr/>
        <w:t>a</w:t>
      </w:r>
      <w:r>
        <w:rPr>
          <w:spacing w:val="-7"/>
        </w:rPr>
        <w:t> </w:t>
      </w:r>
      <w:r>
        <w:rPr/>
        <w:t>inclusão</w:t>
      </w:r>
      <w:r>
        <w:rPr>
          <w:spacing w:val="-7"/>
        </w:rPr>
        <w:t> </w:t>
      </w:r>
      <w:r>
        <w:rPr/>
        <w:t>do</w:t>
      </w:r>
      <w:r>
        <w:rPr>
          <w:spacing w:val="-7"/>
        </w:rPr>
        <w:t> </w:t>
      </w:r>
      <w:r>
        <w:rPr/>
        <w:t>valor</w:t>
      </w:r>
      <w:r>
        <w:rPr>
          <w:spacing w:val="-7"/>
        </w:rPr>
        <w:t> </w:t>
      </w:r>
      <w:r>
        <w:rPr/>
        <w:t>de</w:t>
      </w:r>
      <w:r>
        <w:rPr>
          <w:spacing w:val="-7"/>
        </w:rPr>
        <w:t> </w:t>
      </w:r>
      <w:r>
        <w:rPr/>
        <w:t>R$</w:t>
      </w:r>
      <w:r>
        <w:rPr>
          <w:spacing w:val="-7"/>
        </w:rPr>
        <w:t> </w:t>
      </w:r>
      <w:r>
        <w:rPr/>
        <w:t>652.615,30</w:t>
      </w:r>
      <w:r>
        <w:rPr>
          <w:spacing w:val="-7"/>
        </w:rPr>
        <w:t> </w:t>
      </w:r>
      <w:r>
        <w:rPr/>
        <w:t>objetivando</w:t>
      </w:r>
      <w:r>
        <w:rPr>
          <w:spacing w:val="-7"/>
        </w:rPr>
        <w:t> </w:t>
      </w:r>
      <w:r>
        <w:rPr/>
        <w:t>a</w:t>
      </w:r>
      <w:r>
        <w:rPr>
          <w:spacing w:val="-7"/>
        </w:rPr>
        <w:t> </w:t>
      </w:r>
      <w:r>
        <w:rPr/>
        <w:t>continuidade dos trâmites para contratação dos serviços de coleta, transporte, tratamento e destinação final de resíduos</w:t>
      </w:r>
    </w:p>
    <w:p>
      <w:pPr>
        <w:pStyle w:val="BodyText"/>
        <w:spacing w:after="0"/>
        <w:jc w:val="both"/>
        <w:sectPr>
          <w:pgSz w:w="11900" w:h="16840"/>
          <w:pgMar w:header="0" w:footer="181" w:top="500" w:bottom="380" w:left="566" w:right="566"/>
        </w:sectPr>
      </w:pPr>
    </w:p>
    <w:p>
      <w:pPr>
        <w:pStyle w:val="BodyText"/>
        <w:spacing w:before="60"/>
        <w:ind w:right="241"/>
        <w:jc w:val="both"/>
      </w:pPr>
      <w:r>
        <w:rPr/>
        <w:t>para a CDC, totalizando para o exercício o valor de R$ 812.231,14, o Conselho solicitou a presença do gestor responsável pela contratação e de representantes da área de orçamento da Companhia. Compareceram à reunião a Sra. Ana Paula Schnorr, Coordenadora de Gestão Portuária (CODGEP), o Sr. José Evandro de Goes, Coordenador de Planejamento Estratégico (CODPLA), e o Sr. Cândido Oliveira, representante da CODPLA.</w:t>
      </w:r>
      <w:r>
        <w:rPr>
          <w:spacing w:val="-5"/>
        </w:rPr>
        <w:t> </w:t>
      </w:r>
      <w:r>
        <w:rPr/>
        <w:t>A</w:t>
      </w:r>
      <w:r>
        <w:rPr>
          <w:spacing w:val="-5"/>
        </w:rPr>
        <w:t> </w:t>
      </w:r>
      <w:r>
        <w:rPr/>
        <w:t>Sra.</w:t>
      </w:r>
      <w:r>
        <w:rPr>
          <w:spacing w:val="-5"/>
        </w:rPr>
        <w:t> </w:t>
      </w:r>
      <w:r>
        <w:rPr/>
        <w:t>Ana Paula Schnorr esclareceu que o acréscimo do valor da contratação decorre da inclusão dos serviços de varrição da área portuária, os quais não integravam o escopo da contratação anterior.</w:t>
      </w:r>
    </w:p>
    <w:p>
      <w:pPr>
        <w:pStyle w:val="BodyText"/>
        <w:spacing w:before="225"/>
        <w:ind w:left="0"/>
      </w:pPr>
    </w:p>
    <w:p>
      <w:pPr>
        <w:pStyle w:val="Heading2"/>
        <w:numPr>
          <w:ilvl w:val="1"/>
          <w:numId w:val="1"/>
        </w:numPr>
        <w:tabs>
          <w:tab w:pos="599" w:val="left" w:leader="none"/>
        </w:tabs>
        <w:spacing w:line="240" w:lineRule="auto" w:before="0" w:after="0"/>
        <w:ind w:left="599" w:right="0" w:hanging="357"/>
        <w:jc w:val="both"/>
      </w:pPr>
      <w:r>
        <w:rPr/>
        <w:t>-</w:t>
      </w:r>
      <w:r>
        <w:rPr>
          <w:spacing w:val="-13"/>
        </w:rPr>
        <w:t> </w:t>
      </w:r>
      <w:r>
        <w:rPr/>
        <w:t>Autorizações</w:t>
      </w:r>
      <w:r>
        <w:rPr>
          <w:spacing w:val="-12"/>
        </w:rPr>
        <w:t> </w:t>
      </w:r>
      <w:r>
        <w:rPr/>
        <w:t>DIRPRE</w:t>
      </w:r>
      <w:r>
        <w:rPr>
          <w:spacing w:val="-12"/>
        </w:rPr>
        <w:t> </w:t>
      </w:r>
      <w:r>
        <w:rPr/>
        <w:t>realizadas</w:t>
      </w:r>
      <w:r>
        <w:rPr>
          <w:spacing w:val="-12"/>
        </w:rPr>
        <w:t> </w:t>
      </w:r>
      <w:r>
        <w:rPr/>
        <w:t>em</w:t>
      </w:r>
      <w:r>
        <w:rPr>
          <w:spacing w:val="-13"/>
        </w:rPr>
        <w:t> </w:t>
      </w:r>
      <w:r>
        <w:rPr/>
        <w:t>junho/</w:t>
      </w:r>
      <w:r>
        <w:rPr>
          <w:spacing w:val="-12"/>
        </w:rPr>
        <w:t> </w:t>
      </w:r>
      <w:r>
        <w:rPr>
          <w:spacing w:val="-4"/>
        </w:rPr>
        <w:t>2026</w:t>
      </w:r>
    </w:p>
    <w:p>
      <w:pPr>
        <w:pStyle w:val="BodyText"/>
        <w:spacing w:before="117"/>
        <w:ind w:right="251" w:firstLine="1406"/>
        <w:jc w:val="both"/>
      </w:pPr>
      <w:r>
        <w:rPr/>
        <w:t>Em</w:t>
      </w:r>
      <w:r>
        <w:rPr>
          <w:spacing w:val="-1"/>
        </w:rPr>
        <w:t> </w:t>
      </w:r>
      <w:r>
        <w:rPr/>
        <w:t>seguida,</w:t>
      </w:r>
      <w:r>
        <w:rPr>
          <w:spacing w:val="-1"/>
        </w:rPr>
        <w:t> </w:t>
      </w:r>
      <w:r>
        <w:rPr/>
        <w:t>o</w:t>
      </w:r>
      <w:r>
        <w:rPr>
          <w:spacing w:val="-1"/>
        </w:rPr>
        <w:t> </w:t>
      </w:r>
      <w:r>
        <w:rPr/>
        <w:t>Conselho</w:t>
      </w:r>
      <w:r>
        <w:rPr>
          <w:spacing w:val="-1"/>
        </w:rPr>
        <w:t> </w:t>
      </w:r>
      <w:r>
        <w:rPr/>
        <w:t>analisou</w:t>
      </w:r>
      <w:r>
        <w:rPr>
          <w:spacing w:val="-1"/>
        </w:rPr>
        <w:t> </w:t>
      </w:r>
      <w:r>
        <w:rPr/>
        <w:t>as</w:t>
      </w:r>
      <w:r>
        <w:rPr>
          <w:spacing w:val="-13"/>
        </w:rPr>
        <w:t> </w:t>
      </w:r>
      <w:r>
        <w:rPr/>
        <w:t>Autorizações</w:t>
      </w:r>
      <w:r>
        <w:rPr>
          <w:spacing w:val="-1"/>
        </w:rPr>
        <w:t> </w:t>
      </w:r>
      <w:r>
        <w:rPr/>
        <w:t>DIRPRE nºs 46 a 51 e 53 a 57, realizadas em junho e julho de 2026.</w:t>
      </w:r>
      <w:r>
        <w:rPr>
          <w:spacing w:val="-4"/>
        </w:rPr>
        <w:t> </w:t>
      </w:r>
      <w:r>
        <w:rPr/>
        <w:t>O gabinete da presidência informou que a</w:t>
      </w:r>
      <w:r>
        <w:rPr>
          <w:spacing w:val="-10"/>
        </w:rPr>
        <w:t> </w:t>
      </w:r>
      <w:r>
        <w:rPr/>
        <w:t>Autorização DIRPRE nº 52/2026 não foi utilizada.</w:t>
      </w:r>
    </w:p>
    <w:p>
      <w:pPr>
        <w:pStyle w:val="BodyText"/>
        <w:spacing w:before="114"/>
        <w:ind w:right="240" w:firstLine="1406"/>
        <w:jc w:val="both"/>
      </w:pPr>
      <w:r>
        <w:rPr/>
        <w:t>Com relação à Autorização DIRPRE nº 47/2026, que trata da reforma e modernização do Núcleo Especial de Polícia Marítima (NEPOM), localizado no Porto de Fortaleza, o Conselho solicitou a presença do gestor responsável pelo assunto. O Sr. Igor Rodrigues Brasil, Coordenador de Infraestrutura, compareceu à reunião e esclareceu que o acréscimo de valor decorreu de erro de cálculo no projeto elaborado pela Polícia Federal, o que tornou necessária a revisão dos quantitativos previstos para a execução da obra. Informou, ainda, que o processo foi devidamente instruído com parecer jurídico favorável ao referido acréscimo.</w:t>
      </w:r>
    </w:p>
    <w:p>
      <w:pPr>
        <w:pStyle w:val="BodyText"/>
        <w:spacing w:before="225"/>
        <w:ind w:left="0"/>
      </w:pPr>
    </w:p>
    <w:p>
      <w:pPr>
        <w:pStyle w:val="Heading2"/>
        <w:numPr>
          <w:ilvl w:val="1"/>
          <w:numId w:val="1"/>
        </w:numPr>
        <w:tabs>
          <w:tab w:pos="599" w:val="left" w:leader="none"/>
        </w:tabs>
        <w:spacing w:line="240" w:lineRule="auto" w:before="0" w:after="0"/>
        <w:ind w:left="599" w:right="0" w:hanging="357"/>
        <w:jc w:val="left"/>
      </w:pPr>
      <w:r>
        <w:rPr/>
        <w:t>–</w:t>
      </w:r>
      <w:r>
        <w:rPr>
          <w:spacing w:val="-8"/>
        </w:rPr>
        <w:t> </w:t>
      </w:r>
      <w:r>
        <w:rPr/>
        <w:t>Ata</w:t>
      </w:r>
      <w:r>
        <w:rPr>
          <w:spacing w:val="-7"/>
        </w:rPr>
        <w:t> </w:t>
      </w:r>
      <w:r>
        <w:rPr/>
        <w:t>da</w:t>
      </w:r>
      <w:r>
        <w:rPr>
          <w:spacing w:val="-8"/>
        </w:rPr>
        <w:t> </w:t>
      </w:r>
      <w:r>
        <w:rPr/>
        <w:t>611ª</w:t>
      </w:r>
      <w:r>
        <w:rPr>
          <w:spacing w:val="-7"/>
        </w:rPr>
        <w:t> </w:t>
      </w:r>
      <w:r>
        <w:rPr/>
        <w:t>e</w:t>
      </w:r>
      <w:r>
        <w:rPr>
          <w:spacing w:val="-7"/>
        </w:rPr>
        <w:t> </w:t>
      </w:r>
      <w:r>
        <w:rPr/>
        <w:t>612ª</w:t>
      </w:r>
      <w:r>
        <w:rPr>
          <w:spacing w:val="-8"/>
        </w:rPr>
        <w:t> </w:t>
      </w:r>
      <w:r>
        <w:rPr/>
        <w:t>Reuniões</w:t>
      </w:r>
      <w:r>
        <w:rPr>
          <w:spacing w:val="-7"/>
        </w:rPr>
        <w:t> </w:t>
      </w:r>
      <w:r>
        <w:rPr/>
        <w:t>Ordinárias</w:t>
      </w:r>
      <w:r>
        <w:rPr>
          <w:spacing w:val="-7"/>
        </w:rPr>
        <w:t> </w:t>
      </w:r>
      <w:r>
        <w:rPr/>
        <w:t>do</w:t>
      </w:r>
      <w:r>
        <w:rPr>
          <w:spacing w:val="-8"/>
        </w:rPr>
        <w:t> </w:t>
      </w:r>
      <w:r>
        <w:rPr>
          <w:spacing w:val="-2"/>
        </w:rPr>
        <w:t>CONSAD</w:t>
      </w:r>
    </w:p>
    <w:p>
      <w:pPr>
        <w:pStyle w:val="BodyText"/>
        <w:spacing w:before="117"/>
        <w:ind w:right="246" w:firstLine="1406"/>
        <w:jc w:val="both"/>
      </w:pPr>
      <w:r>
        <w:rPr/>
        <w:t>O Conselho recebeu as Atas das 611ª e 612ª Reuniões Ordinárias do CONSAD, realizadas em maio de 2026.</w:t>
      </w:r>
    </w:p>
    <w:p>
      <w:pPr>
        <w:pStyle w:val="BodyText"/>
        <w:spacing w:before="234"/>
        <w:ind w:left="0"/>
      </w:pPr>
    </w:p>
    <w:p>
      <w:pPr>
        <w:pStyle w:val="Heading2"/>
        <w:numPr>
          <w:ilvl w:val="1"/>
          <w:numId w:val="1"/>
        </w:numPr>
        <w:tabs>
          <w:tab w:pos="778" w:val="left" w:leader="none"/>
        </w:tabs>
        <w:spacing w:line="240" w:lineRule="auto" w:before="0" w:after="0"/>
        <w:ind w:left="242" w:right="263" w:firstLine="0"/>
        <w:jc w:val="left"/>
      </w:pPr>
      <w:r>
        <w:rPr/>
        <w:t>-</w:t>
      </w:r>
      <w:r>
        <w:rPr>
          <w:spacing w:val="40"/>
        </w:rPr>
        <w:t> </w:t>
      </w:r>
      <w:r>
        <w:rPr/>
        <w:t>Atas</w:t>
      </w:r>
      <w:r>
        <w:rPr>
          <w:spacing w:val="40"/>
        </w:rPr>
        <w:t> </w:t>
      </w:r>
      <w:r>
        <w:rPr/>
        <w:t>das</w:t>
      </w:r>
      <w:r>
        <w:rPr>
          <w:spacing w:val="40"/>
        </w:rPr>
        <w:t> </w:t>
      </w:r>
      <w:r>
        <w:rPr/>
        <w:t>176ª</w:t>
      </w:r>
      <w:r>
        <w:rPr>
          <w:spacing w:val="40"/>
        </w:rPr>
        <w:t> </w:t>
      </w:r>
      <w:r>
        <w:rPr/>
        <w:t>e</w:t>
      </w:r>
      <w:r>
        <w:rPr>
          <w:spacing w:val="40"/>
        </w:rPr>
        <w:t> </w:t>
      </w:r>
      <w:r>
        <w:rPr/>
        <w:t>177ª</w:t>
      </w:r>
      <w:r>
        <w:rPr>
          <w:spacing w:val="40"/>
        </w:rPr>
        <w:t> </w:t>
      </w:r>
      <w:r>
        <w:rPr/>
        <w:t>Reuniões</w:t>
      </w:r>
      <w:r>
        <w:rPr>
          <w:spacing w:val="40"/>
        </w:rPr>
        <w:t> </w:t>
      </w:r>
      <w:r>
        <w:rPr/>
        <w:t>Ordinárias</w:t>
      </w:r>
      <w:r>
        <w:rPr>
          <w:spacing w:val="40"/>
        </w:rPr>
        <w:t> </w:t>
      </w:r>
      <w:r>
        <w:rPr/>
        <w:t>e</w:t>
      </w:r>
      <w:r>
        <w:rPr>
          <w:spacing w:val="40"/>
        </w:rPr>
        <w:t> </w:t>
      </w:r>
      <w:r>
        <w:rPr/>
        <w:t>178ª</w:t>
      </w:r>
      <w:r>
        <w:rPr>
          <w:spacing w:val="40"/>
        </w:rPr>
        <w:t> </w:t>
      </w:r>
      <w:r>
        <w:rPr/>
        <w:t>Reunião</w:t>
      </w:r>
      <w:r>
        <w:rPr>
          <w:spacing w:val="40"/>
        </w:rPr>
        <w:t> </w:t>
      </w:r>
      <w:r>
        <w:rPr/>
        <w:t>Extraordinária</w:t>
      </w:r>
      <w:r>
        <w:rPr>
          <w:spacing w:val="40"/>
        </w:rPr>
        <w:t> </w:t>
      </w:r>
      <w:r>
        <w:rPr/>
        <w:t>do</w:t>
      </w:r>
      <w:r>
        <w:rPr>
          <w:spacing w:val="40"/>
        </w:rPr>
        <w:t> </w:t>
      </w:r>
      <w:r>
        <w:rPr/>
        <w:t>Comitê</w:t>
      </w:r>
      <w:r>
        <w:rPr>
          <w:spacing w:val="40"/>
        </w:rPr>
        <w:t> </w:t>
      </w:r>
      <w:r>
        <w:rPr/>
        <w:t>de Auditoria Estatutário da CDC, realizadas em junho/2026</w:t>
      </w:r>
    </w:p>
    <w:p>
      <w:pPr>
        <w:pStyle w:val="BodyText"/>
        <w:spacing w:before="115"/>
        <w:ind w:right="249" w:firstLine="1406"/>
        <w:jc w:val="both"/>
      </w:pPr>
      <w:r>
        <w:rPr/>
        <w:t>O Conselho recebeu as Atas das 176ª e 177ª Reuniões Ordinárias e 178ª Reunião Extraordinária do Comitê de Auditoria Estatutário da CDC, realizadas em junho/2026.</w:t>
      </w:r>
    </w:p>
    <w:p>
      <w:pPr>
        <w:pStyle w:val="BodyText"/>
        <w:spacing w:before="234"/>
        <w:ind w:left="0"/>
      </w:pPr>
    </w:p>
    <w:p>
      <w:pPr>
        <w:pStyle w:val="Heading2"/>
        <w:numPr>
          <w:ilvl w:val="1"/>
          <w:numId w:val="1"/>
        </w:numPr>
        <w:tabs>
          <w:tab w:pos="718" w:val="left" w:leader="none"/>
        </w:tabs>
        <w:spacing w:line="240" w:lineRule="auto" w:before="0" w:after="0"/>
        <w:ind w:left="718" w:right="0" w:hanging="476"/>
        <w:jc w:val="left"/>
      </w:pPr>
      <w:r>
        <w:rPr/>
        <w:t>–</w:t>
      </w:r>
      <w:r>
        <w:rPr>
          <w:spacing w:val="-3"/>
        </w:rPr>
        <w:t> </w:t>
      </w:r>
      <w:r>
        <w:rPr>
          <w:spacing w:val="-2"/>
        </w:rPr>
        <w:t>Pendências</w:t>
      </w:r>
    </w:p>
    <w:p>
      <w:pPr>
        <w:pStyle w:val="BodyText"/>
        <w:spacing w:before="235"/>
        <w:ind w:left="0"/>
        <w:rPr>
          <w:b/>
        </w:rPr>
      </w:pPr>
    </w:p>
    <w:p>
      <w:pPr>
        <w:pStyle w:val="ListParagraph"/>
        <w:numPr>
          <w:ilvl w:val="0"/>
          <w:numId w:val="2"/>
        </w:numPr>
        <w:tabs>
          <w:tab w:pos="445" w:val="left" w:leader="none"/>
        </w:tabs>
        <w:spacing w:line="240" w:lineRule="auto" w:before="0" w:after="0"/>
        <w:ind w:left="242" w:right="242" w:firstLine="0"/>
        <w:jc w:val="both"/>
        <w:rPr>
          <w:sz w:val="24"/>
        </w:rPr>
      </w:pPr>
      <w:r>
        <w:rPr>
          <w:b/>
          <w:sz w:val="24"/>
        </w:rPr>
        <w:t>- Atas das 2479ª a 2484ª Reuniões Ordinárias e 68ª a 71ª Reuniões Extraordinárias da DIREXE, realizadas em setembro / 2024 – Emergencial Vale alimentação/refeição, Emergencial CFTV e Preocupação com as Contratações em caráter emergencial - PCA - </w:t>
      </w:r>
      <w:r>
        <w:rPr>
          <w:sz w:val="24"/>
        </w:rPr>
        <w:t>A DIREXE, através do Comunicado</w:t>
      </w:r>
      <w:r>
        <w:rPr>
          <w:spacing w:val="-8"/>
          <w:sz w:val="24"/>
        </w:rPr>
        <w:t> </w:t>
      </w:r>
      <w:r>
        <w:rPr>
          <w:sz w:val="24"/>
        </w:rPr>
        <w:t>nº</w:t>
      </w:r>
      <w:r>
        <w:rPr>
          <w:spacing w:val="-6"/>
          <w:sz w:val="24"/>
        </w:rPr>
        <w:t> </w:t>
      </w:r>
      <w:r>
        <w:rPr>
          <w:sz w:val="24"/>
        </w:rPr>
        <w:t>8/2026/DIREXE-CDC,</w:t>
      </w:r>
      <w:r>
        <w:rPr>
          <w:spacing w:val="-6"/>
          <w:sz w:val="24"/>
        </w:rPr>
        <w:t> </w:t>
      </w:r>
      <w:r>
        <w:rPr>
          <w:sz w:val="24"/>
        </w:rPr>
        <w:t>informou</w:t>
      </w:r>
      <w:r>
        <w:rPr>
          <w:spacing w:val="-6"/>
          <w:sz w:val="24"/>
        </w:rPr>
        <w:t> </w:t>
      </w:r>
      <w:r>
        <w:rPr>
          <w:sz w:val="24"/>
        </w:rPr>
        <w:t>que</w:t>
      </w:r>
      <w:r>
        <w:rPr>
          <w:spacing w:val="-6"/>
          <w:sz w:val="24"/>
        </w:rPr>
        <w:t> </w:t>
      </w:r>
      <w:r>
        <w:rPr>
          <w:sz w:val="24"/>
        </w:rPr>
        <w:t>o</w:t>
      </w:r>
      <w:r>
        <w:rPr>
          <w:spacing w:val="-6"/>
          <w:sz w:val="24"/>
        </w:rPr>
        <w:t> </w:t>
      </w:r>
      <w:r>
        <w:rPr>
          <w:sz w:val="24"/>
        </w:rPr>
        <w:t>PCA</w:t>
      </w:r>
      <w:r>
        <w:rPr>
          <w:spacing w:val="-15"/>
          <w:sz w:val="24"/>
        </w:rPr>
        <w:t> </w:t>
      </w:r>
      <w:r>
        <w:rPr>
          <w:sz w:val="24"/>
        </w:rPr>
        <w:t>foi</w:t>
      </w:r>
      <w:r>
        <w:rPr>
          <w:spacing w:val="-6"/>
          <w:sz w:val="24"/>
        </w:rPr>
        <w:t> </w:t>
      </w:r>
      <w:r>
        <w:rPr>
          <w:sz w:val="24"/>
        </w:rPr>
        <w:t>revisto</w:t>
      </w:r>
      <w:r>
        <w:rPr>
          <w:spacing w:val="-6"/>
          <w:sz w:val="24"/>
        </w:rPr>
        <w:t> </w:t>
      </w:r>
      <w:r>
        <w:rPr>
          <w:sz w:val="24"/>
        </w:rPr>
        <w:t>e</w:t>
      </w:r>
      <w:r>
        <w:rPr>
          <w:spacing w:val="-6"/>
          <w:sz w:val="24"/>
        </w:rPr>
        <w:t> </w:t>
      </w:r>
      <w:r>
        <w:rPr>
          <w:sz w:val="24"/>
        </w:rPr>
        <w:t>que</w:t>
      </w:r>
      <w:r>
        <w:rPr>
          <w:spacing w:val="-6"/>
          <w:sz w:val="24"/>
        </w:rPr>
        <w:t> </w:t>
      </w:r>
      <w:r>
        <w:rPr>
          <w:sz w:val="24"/>
        </w:rPr>
        <w:t>a</w:t>
      </w:r>
      <w:r>
        <w:rPr>
          <w:spacing w:val="-6"/>
          <w:sz w:val="24"/>
        </w:rPr>
        <w:t> </w:t>
      </w:r>
      <w:r>
        <w:rPr>
          <w:sz w:val="24"/>
        </w:rPr>
        <w:t>Coordenadoria</w:t>
      </w:r>
      <w:r>
        <w:rPr>
          <w:spacing w:val="-6"/>
          <w:sz w:val="24"/>
        </w:rPr>
        <w:t> </w:t>
      </w:r>
      <w:r>
        <w:rPr>
          <w:sz w:val="24"/>
        </w:rPr>
        <w:t>de</w:t>
      </w:r>
      <w:r>
        <w:rPr>
          <w:spacing w:val="-6"/>
          <w:sz w:val="24"/>
        </w:rPr>
        <w:t> </w:t>
      </w:r>
      <w:r>
        <w:rPr>
          <w:sz w:val="24"/>
        </w:rPr>
        <w:t>Compras e Licitações apresentou nova versão para análise e aprovação da Diretoria Executiva, com a inclusão dos pontos levantados pelos Conselhos de Administração e Fiscal da CDC. O referido documento será submetido para análise e aprovação do Conselho de Administração em sua próxima reunião.</w:t>
      </w:r>
    </w:p>
    <w:p>
      <w:pPr>
        <w:pStyle w:val="BodyText"/>
        <w:spacing w:before="107"/>
        <w:ind w:right="244"/>
        <w:jc w:val="both"/>
      </w:pPr>
      <w:r>
        <w:rPr/>
        <w:t>O Conselho seguirá acompanhando o assunto, destacando o absoluto atraso e extemporaneidade no trato dessa relevante matéria, que impacta na adequada gestão da companhia.</w:t>
      </w:r>
    </w:p>
    <w:p>
      <w:pPr>
        <w:pStyle w:val="BodyText"/>
        <w:spacing w:before="233"/>
        <w:ind w:left="0"/>
      </w:pPr>
    </w:p>
    <w:p>
      <w:pPr>
        <w:pStyle w:val="ListParagraph"/>
        <w:numPr>
          <w:ilvl w:val="0"/>
          <w:numId w:val="2"/>
        </w:numPr>
        <w:tabs>
          <w:tab w:pos="478" w:val="left" w:leader="none"/>
        </w:tabs>
        <w:spacing w:line="240" w:lineRule="auto" w:before="0" w:after="0"/>
        <w:ind w:left="242" w:right="242" w:firstLine="0"/>
        <w:jc w:val="both"/>
        <w:rPr>
          <w:sz w:val="24"/>
        </w:rPr>
      </w:pPr>
      <w:r>
        <w:rPr>
          <w:b/>
          <w:sz w:val="24"/>
        </w:rPr>
        <w:t>- Análise do Balancete e acompanhamento mensal dos resultados econômicos – financeiros – janeiro / 2026 – Auto de Infração ANTAQ; recomendação criação de Corregedoria -</w:t>
      </w:r>
      <w:r>
        <w:rPr>
          <w:b/>
          <w:spacing w:val="40"/>
          <w:sz w:val="24"/>
        </w:rPr>
        <w:t> </w:t>
      </w:r>
      <w:r>
        <w:rPr>
          <w:sz w:val="24"/>
        </w:rPr>
        <w:t>A DIREXE, através do Comunicado nº 8/2026/DIREXE-CDC, informou que reitera a informação que já iniciou os trabalhos</w:t>
      </w:r>
      <w:r>
        <w:rPr>
          <w:spacing w:val="-5"/>
          <w:sz w:val="24"/>
        </w:rPr>
        <w:t> </w:t>
      </w:r>
      <w:r>
        <w:rPr>
          <w:sz w:val="24"/>
        </w:rPr>
        <w:t>em</w:t>
      </w:r>
      <w:r>
        <w:rPr>
          <w:spacing w:val="-5"/>
          <w:sz w:val="24"/>
        </w:rPr>
        <w:t> </w:t>
      </w:r>
      <w:r>
        <w:rPr>
          <w:sz w:val="24"/>
        </w:rPr>
        <w:t>relação</w:t>
      </w:r>
      <w:r>
        <w:rPr>
          <w:spacing w:val="-5"/>
          <w:sz w:val="24"/>
        </w:rPr>
        <w:t> </w:t>
      </w:r>
      <w:r>
        <w:rPr>
          <w:sz w:val="24"/>
        </w:rPr>
        <w:t>à</w:t>
      </w:r>
      <w:r>
        <w:rPr>
          <w:spacing w:val="-5"/>
          <w:sz w:val="24"/>
        </w:rPr>
        <w:t> </w:t>
      </w:r>
      <w:r>
        <w:rPr>
          <w:sz w:val="24"/>
        </w:rPr>
        <w:t>criação</w:t>
      </w:r>
      <w:r>
        <w:rPr>
          <w:spacing w:val="-5"/>
          <w:sz w:val="24"/>
        </w:rPr>
        <w:t> </w:t>
      </w:r>
      <w:r>
        <w:rPr>
          <w:sz w:val="24"/>
        </w:rPr>
        <w:t>da</w:t>
      </w:r>
      <w:r>
        <w:rPr>
          <w:spacing w:val="-5"/>
          <w:sz w:val="24"/>
        </w:rPr>
        <w:t> </w:t>
      </w:r>
      <w:r>
        <w:rPr>
          <w:sz w:val="24"/>
        </w:rPr>
        <w:t>corregedoria,</w:t>
      </w:r>
      <w:r>
        <w:rPr>
          <w:spacing w:val="-5"/>
          <w:sz w:val="24"/>
        </w:rPr>
        <w:t> </w:t>
      </w:r>
      <w:r>
        <w:rPr>
          <w:sz w:val="24"/>
        </w:rPr>
        <w:t>estando</w:t>
      </w:r>
      <w:r>
        <w:rPr>
          <w:spacing w:val="-5"/>
          <w:sz w:val="24"/>
        </w:rPr>
        <w:t> </w:t>
      </w:r>
      <w:r>
        <w:rPr>
          <w:sz w:val="24"/>
        </w:rPr>
        <w:t>sob</w:t>
      </w:r>
      <w:r>
        <w:rPr>
          <w:spacing w:val="-5"/>
          <w:sz w:val="24"/>
        </w:rPr>
        <w:t> </w:t>
      </w:r>
      <w:r>
        <w:rPr>
          <w:sz w:val="24"/>
        </w:rPr>
        <w:t>responsabilidade</w:t>
      </w:r>
      <w:r>
        <w:rPr>
          <w:spacing w:val="-5"/>
          <w:sz w:val="24"/>
        </w:rPr>
        <w:t> </w:t>
      </w:r>
      <w:r>
        <w:rPr>
          <w:sz w:val="24"/>
        </w:rPr>
        <w:t>do</w:t>
      </w:r>
      <w:r>
        <w:rPr>
          <w:spacing w:val="-4"/>
          <w:sz w:val="24"/>
        </w:rPr>
        <w:t> </w:t>
      </w:r>
      <w:r>
        <w:rPr>
          <w:sz w:val="24"/>
        </w:rPr>
        <w:t>Gabinete</w:t>
      </w:r>
      <w:r>
        <w:rPr>
          <w:spacing w:val="-4"/>
          <w:sz w:val="24"/>
        </w:rPr>
        <w:t> </w:t>
      </w:r>
      <w:r>
        <w:rPr>
          <w:sz w:val="24"/>
        </w:rPr>
        <w:t>da</w:t>
      </w:r>
      <w:r>
        <w:rPr>
          <w:spacing w:val="-4"/>
          <w:sz w:val="24"/>
        </w:rPr>
        <w:t> </w:t>
      </w:r>
      <w:r>
        <w:rPr>
          <w:sz w:val="24"/>
        </w:rPr>
        <w:t>Presidência,</w:t>
      </w:r>
      <w:r>
        <w:rPr>
          <w:spacing w:val="-4"/>
          <w:sz w:val="24"/>
        </w:rPr>
        <w:t> </w:t>
      </w:r>
      <w:r>
        <w:rPr>
          <w:sz w:val="24"/>
        </w:rPr>
        <w:t>o andamento da referida solicitação.</w:t>
      </w:r>
    </w:p>
    <w:p>
      <w:pPr>
        <w:pStyle w:val="BodyText"/>
        <w:spacing w:before="111"/>
        <w:jc w:val="both"/>
      </w:pPr>
      <w:r>
        <w:rPr/>
        <w:t>O</w:t>
      </w:r>
      <w:r>
        <w:rPr>
          <w:spacing w:val="-11"/>
        </w:rPr>
        <w:t> </w:t>
      </w:r>
      <w:r>
        <w:rPr/>
        <w:t>Conselho</w:t>
      </w:r>
      <w:r>
        <w:rPr>
          <w:spacing w:val="-11"/>
        </w:rPr>
        <w:t> </w:t>
      </w:r>
      <w:r>
        <w:rPr/>
        <w:t>solicita</w:t>
      </w:r>
      <w:r>
        <w:rPr>
          <w:spacing w:val="-11"/>
        </w:rPr>
        <w:t> </w:t>
      </w:r>
      <w:r>
        <w:rPr/>
        <w:t>a</w:t>
      </w:r>
      <w:r>
        <w:rPr>
          <w:spacing w:val="-10"/>
        </w:rPr>
        <w:t> </w:t>
      </w:r>
      <w:r>
        <w:rPr/>
        <w:t>atualização</w:t>
      </w:r>
      <w:r>
        <w:rPr>
          <w:spacing w:val="-11"/>
        </w:rPr>
        <w:t> </w:t>
      </w:r>
      <w:r>
        <w:rPr/>
        <w:t>das</w:t>
      </w:r>
      <w:r>
        <w:rPr>
          <w:spacing w:val="-11"/>
        </w:rPr>
        <w:t> </w:t>
      </w:r>
      <w:r>
        <w:rPr/>
        <w:t>informações,</w:t>
      </w:r>
      <w:r>
        <w:rPr>
          <w:spacing w:val="-10"/>
        </w:rPr>
        <w:t> </w:t>
      </w:r>
      <w:r>
        <w:rPr/>
        <w:t>com</w:t>
      </w:r>
      <w:r>
        <w:rPr>
          <w:spacing w:val="-11"/>
        </w:rPr>
        <w:t> </w:t>
      </w:r>
      <w:r>
        <w:rPr/>
        <w:t>a</w:t>
      </w:r>
      <w:r>
        <w:rPr>
          <w:spacing w:val="-11"/>
        </w:rPr>
        <w:t> </w:t>
      </w:r>
      <w:r>
        <w:rPr/>
        <w:t>apresentação</w:t>
      </w:r>
      <w:r>
        <w:rPr>
          <w:spacing w:val="-10"/>
        </w:rPr>
        <w:t> </w:t>
      </w:r>
      <w:r>
        <w:rPr/>
        <w:t>das</w:t>
      </w:r>
      <w:r>
        <w:rPr>
          <w:spacing w:val="-11"/>
        </w:rPr>
        <w:t> </w:t>
      </w:r>
      <w:r>
        <w:rPr/>
        <w:t>providências</w:t>
      </w:r>
      <w:r>
        <w:rPr>
          <w:spacing w:val="-11"/>
        </w:rPr>
        <w:t> </w:t>
      </w:r>
      <w:r>
        <w:rPr/>
        <w:t>já</w:t>
      </w:r>
      <w:r>
        <w:rPr>
          <w:spacing w:val="-11"/>
        </w:rPr>
        <w:t> </w:t>
      </w:r>
      <w:r>
        <w:rPr>
          <w:spacing w:val="-2"/>
        </w:rPr>
        <w:t>adotadas.</w:t>
      </w:r>
    </w:p>
    <w:p>
      <w:pPr>
        <w:pStyle w:val="BodyText"/>
        <w:spacing w:after="0"/>
        <w:jc w:val="both"/>
        <w:sectPr>
          <w:pgSz w:w="11900" w:h="16840"/>
          <w:pgMar w:header="0" w:footer="181" w:top="500" w:bottom="380" w:left="566" w:right="566"/>
        </w:sectPr>
      </w:pPr>
    </w:p>
    <w:p>
      <w:pPr>
        <w:pStyle w:val="ListParagraph"/>
        <w:numPr>
          <w:ilvl w:val="0"/>
          <w:numId w:val="2"/>
        </w:numPr>
        <w:tabs>
          <w:tab w:pos="451" w:val="left" w:leader="none"/>
        </w:tabs>
        <w:spacing w:line="240" w:lineRule="auto" w:before="60" w:after="0"/>
        <w:ind w:left="242" w:right="241" w:firstLine="0"/>
        <w:jc w:val="both"/>
        <w:rPr>
          <w:sz w:val="24"/>
        </w:rPr>
      </w:pPr>
      <w:r>
        <w:rPr>
          <w:b/>
          <w:sz w:val="24"/>
        </w:rPr>
        <w:t>- Atas da 2540ª a 2542ª Reuniões Ordinárias e 95ª e 96ª Reuniões Extraordinárias da DIREXE, realizadas em março e abril/2026 – Contratações emergenciais e Reconhecimento de dívidas - </w:t>
      </w:r>
      <w:r>
        <w:rPr>
          <w:sz w:val="24"/>
        </w:rPr>
        <w:t>A DIREXE, através do Comunicado nº 8/2026/DIREXE-CDC, informou que foi determinado à Coordenadoria de Compras e Licitações que apresente, semanalmente, relatório de acompanhamento de todos os processos licitatórios e contratos em andamento, permitindo o monitoramento contínuo dos prazos, das etapas de instrução e dos riscos de descontinuidade das contratações. A medida tem por objetivo fortalecer o planejamento e o controle das contratações, possibilitando a adoção tempestiva das providências necessárias para evitar falhas administrativas que possam culminar na necessidade de contratações emergenciais ou na realização de despesas sem cobertura contratual, posteriormente regularizadas por meio de reconhecimento de dívida. Com essa iniciativa, a Diretoria busca aprimorar a gestão dos processos de contratação, reduzir a ocorrência de situações excepcionais e assegurar maior observância aos princípios da legalidade, eficiência, planejamento e economicidade.</w:t>
      </w:r>
    </w:p>
    <w:p>
      <w:pPr>
        <w:pStyle w:val="BodyText"/>
        <w:spacing w:before="99"/>
        <w:jc w:val="both"/>
      </w:pPr>
      <w:r>
        <w:rPr/>
        <w:t>O</w:t>
      </w:r>
      <w:r>
        <w:rPr>
          <w:spacing w:val="-8"/>
        </w:rPr>
        <w:t> </w:t>
      </w:r>
      <w:r>
        <w:rPr/>
        <w:t>Conselho</w:t>
      </w:r>
      <w:r>
        <w:rPr>
          <w:spacing w:val="-7"/>
        </w:rPr>
        <w:t> </w:t>
      </w:r>
      <w:r>
        <w:rPr/>
        <w:t>retira</w:t>
      </w:r>
      <w:r>
        <w:rPr>
          <w:spacing w:val="-8"/>
        </w:rPr>
        <w:t> </w:t>
      </w:r>
      <w:r>
        <w:rPr/>
        <w:t>a</w:t>
      </w:r>
      <w:r>
        <w:rPr>
          <w:spacing w:val="-7"/>
        </w:rPr>
        <w:t> </w:t>
      </w:r>
      <w:r>
        <w:rPr>
          <w:spacing w:val="-2"/>
        </w:rPr>
        <w:t>pendência.</w:t>
      </w:r>
    </w:p>
    <w:p>
      <w:pPr>
        <w:pStyle w:val="BodyText"/>
        <w:spacing w:before="234"/>
        <w:ind w:left="0"/>
      </w:pPr>
    </w:p>
    <w:p>
      <w:pPr>
        <w:pStyle w:val="ListParagraph"/>
        <w:numPr>
          <w:ilvl w:val="0"/>
          <w:numId w:val="2"/>
        </w:numPr>
        <w:tabs>
          <w:tab w:pos="451" w:val="left" w:leader="none"/>
        </w:tabs>
        <w:spacing w:line="240" w:lineRule="auto" w:before="1" w:after="0"/>
        <w:ind w:left="242" w:right="245" w:firstLine="0"/>
        <w:jc w:val="both"/>
        <w:rPr>
          <w:sz w:val="24"/>
        </w:rPr>
      </w:pPr>
      <w:r>
        <w:rPr>
          <w:b/>
          <w:sz w:val="24"/>
        </w:rPr>
        <w:t>- Atas da 2543ª a 2544ª Reuniões Ordinárias e 97ª e 98ª Reuniões Extraordinárias da DIREXE, realizadas em abril e maio/2026</w:t>
      </w:r>
      <w:r>
        <w:rPr>
          <w:b/>
          <w:spacing w:val="40"/>
          <w:sz w:val="24"/>
        </w:rPr>
        <w:t> </w:t>
      </w:r>
      <w:r>
        <w:rPr>
          <w:sz w:val="24"/>
        </w:rPr>
        <w:t>- A DIREXE, através do Comunicado nº 8/2026/DIREXE-CDC, informou que foi determinado à Coordenadoria de Compras e Licitações que apresente, semanalmente, relatório de acompanhamento de todos os processos licitatórios e contratos em andamento, permitindo o monitoramento contínuo dos prazos, das etapas de instrução e dos riscos de descontinuidade das contratações. A medida tem por objetivo fortalecer o planejamento e o controle das contratações, possibilitando a adoção tempestiva das providências necessárias para evitar falhas administrativas que possam culminar na necessidade de contratações emergenciais ou na realização de despesas sem cobertura contratual, posteriormente regularizadas por meio de reconhecimento de dívida. Com essa iniciativa, a Diretoria busca aprimorar a gestão dos processos de contratação, reduzir a ocorrência de situações excepcionais e assegurar maior observância aos princípios da legalidade, eficiência, planejamento e </w:t>
      </w:r>
      <w:r>
        <w:rPr>
          <w:spacing w:val="-2"/>
          <w:sz w:val="24"/>
        </w:rPr>
        <w:t>economicidade.</w:t>
      </w:r>
    </w:p>
    <w:p>
      <w:pPr>
        <w:pStyle w:val="BodyText"/>
        <w:spacing w:before="98"/>
        <w:jc w:val="both"/>
      </w:pPr>
      <w:r>
        <w:rPr/>
        <w:t>O</w:t>
      </w:r>
      <w:r>
        <w:rPr>
          <w:spacing w:val="-8"/>
        </w:rPr>
        <w:t> </w:t>
      </w:r>
      <w:r>
        <w:rPr/>
        <w:t>Conselho</w:t>
      </w:r>
      <w:r>
        <w:rPr>
          <w:spacing w:val="-7"/>
        </w:rPr>
        <w:t> </w:t>
      </w:r>
      <w:r>
        <w:rPr/>
        <w:t>retira</w:t>
      </w:r>
      <w:r>
        <w:rPr>
          <w:spacing w:val="-8"/>
        </w:rPr>
        <w:t> </w:t>
      </w:r>
      <w:r>
        <w:rPr/>
        <w:t>a</w:t>
      </w:r>
      <w:r>
        <w:rPr>
          <w:spacing w:val="-7"/>
        </w:rPr>
        <w:t> </w:t>
      </w:r>
      <w:r>
        <w:rPr>
          <w:spacing w:val="-2"/>
        </w:rPr>
        <w:t>pendência.</w:t>
      </w:r>
    </w:p>
    <w:p>
      <w:pPr>
        <w:pStyle w:val="BodyText"/>
        <w:spacing w:before="235"/>
        <w:ind w:left="0"/>
      </w:pPr>
    </w:p>
    <w:p>
      <w:pPr>
        <w:pStyle w:val="ListParagraph"/>
        <w:numPr>
          <w:ilvl w:val="0"/>
          <w:numId w:val="2"/>
        </w:numPr>
        <w:tabs>
          <w:tab w:pos="456" w:val="left" w:leader="none"/>
        </w:tabs>
        <w:spacing w:line="240" w:lineRule="auto" w:before="0" w:after="0"/>
        <w:ind w:left="242" w:right="247" w:firstLine="0"/>
        <w:jc w:val="both"/>
        <w:rPr>
          <w:sz w:val="24"/>
        </w:rPr>
      </w:pPr>
      <w:r>
        <w:rPr>
          <w:b/>
          <w:sz w:val="24"/>
        </w:rPr>
        <w:t>- Relatório de Auditoria Externa referente ao 3º trimestre / 2025 – Apresentação do Relatório; recomendação de previsão de prazo limite para medição e apresentação de fatura - </w:t>
      </w:r>
      <w:r>
        <w:rPr>
          <w:sz w:val="24"/>
        </w:rPr>
        <w:t>A DIREXE, através do Comunicado nº 8/2026/DIREXE-CDC, informou que está analisando a demanda junto às áreas técnicas e encaminhará manifestação formal ao Conselho Fiscal.</w:t>
      </w:r>
    </w:p>
    <w:p>
      <w:pPr>
        <w:pStyle w:val="BodyText"/>
        <w:spacing w:before="112"/>
        <w:ind w:right="246"/>
        <w:jc w:val="both"/>
        <w:rPr>
          <w:b/>
        </w:rPr>
      </w:pPr>
      <w:r>
        <w:rPr/>
        <w:t>O Conselho retira o assunto, recomendando à Diretoria que estabeleça prazo máximo para a realização da medição dos serviços prestados, com a devida previsão na norma de contas a pagar</w:t>
      </w:r>
      <w:r>
        <w:rPr>
          <w:b/>
        </w:rPr>
        <w:t>.</w:t>
      </w:r>
    </w:p>
    <w:p>
      <w:pPr>
        <w:pStyle w:val="BodyText"/>
        <w:spacing w:before="233"/>
        <w:ind w:left="0"/>
        <w:rPr>
          <w:b/>
        </w:rPr>
      </w:pPr>
    </w:p>
    <w:p>
      <w:pPr>
        <w:pStyle w:val="ListParagraph"/>
        <w:numPr>
          <w:ilvl w:val="0"/>
          <w:numId w:val="2"/>
        </w:numPr>
        <w:tabs>
          <w:tab w:pos="458" w:val="left" w:leader="none"/>
        </w:tabs>
        <w:spacing w:line="240" w:lineRule="auto" w:before="1" w:after="0"/>
        <w:ind w:left="242" w:right="242" w:firstLine="0"/>
        <w:jc w:val="both"/>
        <w:rPr>
          <w:sz w:val="24"/>
        </w:rPr>
      </w:pPr>
      <w:r>
        <w:rPr>
          <w:b/>
          <w:sz w:val="24"/>
        </w:rPr>
        <w:t>- Atas da 2545ª a 2547ª Reuniões Ordinárias da DIREXE, realizadas em maio e junho /2026 – Revisão de regulamento – cobrança de serviços portuários - </w:t>
      </w:r>
      <w:r>
        <w:rPr>
          <w:sz w:val="24"/>
        </w:rPr>
        <w:t>A DIREXE, através do Comunicado nº 8/2026/DIREXE-CDC, informou que a recomendação está sendo tratada junto ao corpo jurídico e à coordenadoria de gestão portuária.</w:t>
      </w:r>
    </w:p>
    <w:p>
      <w:pPr>
        <w:pStyle w:val="BodyText"/>
        <w:spacing w:before="112"/>
        <w:jc w:val="both"/>
      </w:pPr>
      <w:r>
        <w:rPr/>
        <w:t>O</w:t>
      </w:r>
      <w:r>
        <w:rPr>
          <w:spacing w:val="-8"/>
        </w:rPr>
        <w:t> </w:t>
      </w:r>
      <w:r>
        <w:rPr/>
        <w:t>Conselho</w:t>
      </w:r>
      <w:r>
        <w:rPr>
          <w:spacing w:val="-7"/>
        </w:rPr>
        <w:t> </w:t>
      </w:r>
      <w:r>
        <w:rPr/>
        <w:t>retira</w:t>
      </w:r>
      <w:r>
        <w:rPr>
          <w:spacing w:val="-8"/>
        </w:rPr>
        <w:t> </w:t>
      </w:r>
      <w:r>
        <w:rPr/>
        <w:t>a</w:t>
      </w:r>
      <w:r>
        <w:rPr>
          <w:spacing w:val="-7"/>
        </w:rPr>
        <w:t> </w:t>
      </w:r>
      <w:r>
        <w:rPr>
          <w:spacing w:val="-2"/>
        </w:rPr>
        <w:t>pendência.</w:t>
      </w:r>
    </w:p>
    <w:p>
      <w:pPr>
        <w:pStyle w:val="BodyText"/>
        <w:spacing w:before="235"/>
        <w:ind w:left="0"/>
      </w:pPr>
    </w:p>
    <w:p>
      <w:pPr>
        <w:pStyle w:val="ListParagraph"/>
        <w:numPr>
          <w:ilvl w:val="0"/>
          <w:numId w:val="2"/>
        </w:numPr>
        <w:tabs>
          <w:tab w:pos="422" w:val="left" w:leader="none"/>
        </w:tabs>
        <w:spacing w:line="240" w:lineRule="auto" w:before="0" w:after="0"/>
        <w:ind w:left="242" w:right="247" w:firstLine="0"/>
        <w:jc w:val="both"/>
        <w:rPr>
          <w:sz w:val="24"/>
        </w:rPr>
      </w:pPr>
      <w:r>
        <w:rPr>
          <w:b/>
          <w:sz w:val="24"/>
        </w:rPr>
        <w:t>-</w:t>
      </w:r>
      <w:r>
        <w:rPr>
          <w:b/>
          <w:spacing w:val="-15"/>
          <w:sz w:val="24"/>
        </w:rPr>
        <w:t> </w:t>
      </w:r>
      <w:r>
        <w:rPr>
          <w:b/>
          <w:sz w:val="24"/>
        </w:rPr>
        <w:t>Atas</w:t>
      </w:r>
      <w:r>
        <w:rPr>
          <w:b/>
          <w:spacing w:val="-6"/>
          <w:sz w:val="24"/>
        </w:rPr>
        <w:t> </w:t>
      </w:r>
      <w:r>
        <w:rPr>
          <w:b/>
          <w:sz w:val="24"/>
        </w:rPr>
        <w:t>das</w:t>
      </w:r>
      <w:r>
        <w:rPr>
          <w:b/>
          <w:spacing w:val="-6"/>
          <w:sz w:val="24"/>
        </w:rPr>
        <w:t> </w:t>
      </w:r>
      <w:r>
        <w:rPr>
          <w:b/>
          <w:sz w:val="24"/>
        </w:rPr>
        <w:t>2525ª</w:t>
      </w:r>
      <w:r>
        <w:rPr>
          <w:b/>
          <w:spacing w:val="-6"/>
          <w:sz w:val="24"/>
        </w:rPr>
        <w:t> </w:t>
      </w:r>
      <w:r>
        <w:rPr>
          <w:b/>
          <w:sz w:val="24"/>
        </w:rPr>
        <w:t>a</w:t>
      </w:r>
      <w:r>
        <w:rPr>
          <w:b/>
          <w:spacing w:val="-6"/>
          <w:sz w:val="24"/>
        </w:rPr>
        <w:t> </w:t>
      </w:r>
      <w:r>
        <w:rPr>
          <w:b/>
          <w:sz w:val="24"/>
        </w:rPr>
        <w:t>2528ª</w:t>
      </w:r>
      <w:r>
        <w:rPr>
          <w:b/>
          <w:spacing w:val="-6"/>
          <w:sz w:val="24"/>
        </w:rPr>
        <w:t> </w:t>
      </w:r>
      <w:r>
        <w:rPr>
          <w:b/>
          <w:sz w:val="24"/>
        </w:rPr>
        <w:t>Reuniões</w:t>
      </w:r>
      <w:r>
        <w:rPr>
          <w:b/>
          <w:spacing w:val="-6"/>
          <w:sz w:val="24"/>
        </w:rPr>
        <w:t> </w:t>
      </w:r>
      <w:r>
        <w:rPr>
          <w:b/>
          <w:sz w:val="24"/>
        </w:rPr>
        <w:t>Ordinárias</w:t>
      </w:r>
      <w:r>
        <w:rPr>
          <w:b/>
          <w:spacing w:val="-6"/>
          <w:sz w:val="24"/>
        </w:rPr>
        <w:t> </w:t>
      </w:r>
      <w:r>
        <w:rPr>
          <w:b/>
          <w:sz w:val="24"/>
        </w:rPr>
        <w:t>e</w:t>
      </w:r>
      <w:r>
        <w:rPr>
          <w:b/>
          <w:spacing w:val="-6"/>
          <w:sz w:val="24"/>
        </w:rPr>
        <w:t> </w:t>
      </w:r>
      <w:r>
        <w:rPr>
          <w:b/>
          <w:sz w:val="24"/>
        </w:rPr>
        <w:t>90ª</w:t>
      </w:r>
      <w:r>
        <w:rPr>
          <w:b/>
          <w:spacing w:val="-6"/>
          <w:sz w:val="24"/>
        </w:rPr>
        <w:t> </w:t>
      </w:r>
      <w:r>
        <w:rPr>
          <w:b/>
          <w:sz w:val="24"/>
        </w:rPr>
        <w:t>Reunião</w:t>
      </w:r>
      <w:r>
        <w:rPr>
          <w:b/>
          <w:spacing w:val="-6"/>
          <w:sz w:val="24"/>
        </w:rPr>
        <w:t> </w:t>
      </w:r>
      <w:r>
        <w:rPr>
          <w:b/>
          <w:sz w:val="24"/>
        </w:rPr>
        <w:t>Extraordinária</w:t>
      </w:r>
      <w:r>
        <w:rPr>
          <w:b/>
          <w:spacing w:val="-6"/>
          <w:sz w:val="24"/>
        </w:rPr>
        <w:t> </w:t>
      </w:r>
      <w:r>
        <w:rPr>
          <w:b/>
          <w:sz w:val="24"/>
        </w:rPr>
        <w:t>da</w:t>
      </w:r>
      <w:r>
        <w:rPr>
          <w:b/>
          <w:spacing w:val="-6"/>
          <w:sz w:val="24"/>
        </w:rPr>
        <w:t> </w:t>
      </w:r>
      <w:r>
        <w:rPr>
          <w:b/>
          <w:sz w:val="24"/>
        </w:rPr>
        <w:t>DIREXE,</w:t>
      </w:r>
      <w:r>
        <w:rPr>
          <w:b/>
          <w:spacing w:val="-6"/>
          <w:sz w:val="24"/>
        </w:rPr>
        <w:t> </w:t>
      </w:r>
      <w:r>
        <w:rPr>
          <w:b/>
          <w:sz w:val="24"/>
        </w:rPr>
        <w:t>realizadas em novembro e dezembro de 2025 - Consultoria Tributária Estratégica - </w:t>
      </w:r>
      <w:r>
        <w:rPr>
          <w:sz w:val="24"/>
        </w:rPr>
        <w:t>A DIREXE, através do Comunicado nº 8/2026/DIREXE-CDC, informou que essa determinação será atendida: o parecer jurídico-técnico</w:t>
      </w:r>
      <w:r>
        <w:rPr>
          <w:spacing w:val="-3"/>
          <w:sz w:val="24"/>
        </w:rPr>
        <w:t> </w:t>
      </w:r>
      <w:r>
        <w:rPr>
          <w:sz w:val="24"/>
        </w:rPr>
        <w:t>elaborado</w:t>
      </w:r>
      <w:r>
        <w:rPr>
          <w:spacing w:val="-3"/>
          <w:sz w:val="24"/>
        </w:rPr>
        <w:t> </w:t>
      </w:r>
      <w:r>
        <w:rPr>
          <w:sz w:val="24"/>
        </w:rPr>
        <w:t>pelo</w:t>
      </w:r>
      <w:r>
        <w:rPr>
          <w:spacing w:val="-3"/>
          <w:sz w:val="24"/>
        </w:rPr>
        <w:t> </w:t>
      </w:r>
      <w:r>
        <w:rPr>
          <w:sz w:val="24"/>
        </w:rPr>
        <w:t>escritório</w:t>
      </w:r>
      <w:r>
        <w:rPr>
          <w:spacing w:val="-3"/>
          <w:sz w:val="24"/>
        </w:rPr>
        <w:t> </w:t>
      </w:r>
      <w:r>
        <w:rPr>
          <w:sz w:val="24"/>
        </w:rPr>
        <w:t>contratado,</w:t>
      </w:r>
      <w:r>
        <w:rPr>
          <w:spacing w:val="-3"/>
          <w:sz w:val="24"/>
        </w:rPr>
        <w:t> </w:t>
      </w:r>
      <w:r>
        <w:rPr>
          <w:sz w:val="24"/>
        </w:rPr>
        <w:t>já</w:t>
      </w:r>
      <w:r>
        <w:rPr>
          <w:spacing w:val="-3"/>
          <w:sz w:val="24"/>
        </w:rPr>
        <w:t> </w:t>
      </w:r>
      <w:r>
        <w:rPr>
          <w:sz w:val="24"/>
        </w:rPr>
        <w:t>apresentado</w:t>
      </w:r>
      <w:r>
        <w:rPr>
          <w:spacing w:val="-3"/>
          <w:sz w:val="24"/>
        </w:rPr>
        <w:t> </w:t>
      </w:r>
      <w:r>
        <w:rPr>
          <w:sz w:val="24"/>
        </w:rPr>
        <w:t>à</w:t>
      </w:r>
      <w:r>
        <w:rPr>
          <w:spacing w:val="-3"/>
          <w:sz w:val="24"/>
        </w:rPr>
        <w:t> </w:t>
      </w:r>
      <w:r>
        <w:rPr>
          <w:sz w:val="24"/>
        </w:rPr>
        <w:t>DIREXE,</w:t>
      </w:r>
      <w:r>
        <w:rPr>
          <w:spacing w:val="-3"/>
          <w:sz w:val="24"/>
        </w:rPr>
        <w:t> </w:t>
      </w:r>
      <w:r>
        <w:rPr>
          <w:sz w:val="24"/>
        </w:rPr>
        <w:t>será</w:t>
      </w:r>
      <w:r>
        <w:rPr>
          <w:spacing w:val="-3"/>
          <w:sz w:val="24"/>
        </w:rPr>
        <w:t> </w:t>
      </w:r>
      <w:r>
        <w:rPr>
          <w:sz w:val="24"/>
        </w:rPr>
        <w:t>submetido</w:t>
      </w:r>
      <w:r>
        <w:rPr>
          <w:spacing w:val="-3"/>
          <w:sz w:val="24"/>
        </w:rPr>
        <w:t> </w:t>
      </w:r>
      <w:r>
        <w:rPr>
          <w:sz w:val="24"/>
        </w:rPr>
        <w:t>ao</w:t>
      </w:r>
      <w:r>
        <w:rPr>
          <w:spacing w:val="-3"/>
          <w:sz w:val="24"/>
        </w:rPr>
        <w:t> </w:t>
      </w:r>
      <w:r>
        <w:rPr>
          <w:sz w:val="24"/>
        </w:rPr>
        <w:t>Conselho</w:t>
      </w:r>
      <w:r>
        <w:rPr>
          <w:spacing w:val="-3"/>
          <w:sz w:val="24"/>
        </w:rPr>
        <w:t> </w:t>
      </w:r>
      <w:r>
        <w:rPr>
          <w:sz w:val="24"/>
        </w:rPr>
        <w:t>Fiscal antes de qualquer autorização para o ajuizamento da ação judicial. Nesse sentido, aguardamos inclusão em pauta para que possamos alinhar, em formato virtual, a apresentação por parte da empresa contratada.</w:t>
      </w:r>
    </w:p>
    <w:p>
      <w:pPr>
        <w:pStyle w:val="BodyText"/>
        <w:spacing w:before="109"/>
        <w:ind w:right="243"/>
        <w:jc w:val="both"/>
      </w:pPr>
      <w:r>
        <w:rPr/>
        <w:t>O</w:t>
      </w:r>
      <w:r>
        <w:rPr>
          <w:spacing w:val="-4"/>
        </w:rPr>
        <w:t> </w:t>
      </w:r>
      <w:r>
        <w:rPr/>
        <w:t>Conselho</w:t>
      </w:r>
      <w:r>
        <w:rPr>
          <w:spacing w:val="-3"/>
        </w:rPr>
        <w:t> </w:t>
      </w:r>
      <w:r>
        <w:rPr/>
        <w:t>solicita</w:t>
      </w:r>
      <w:r>
        <w:rPr>
          <w:spacing w:val="-3"/>
        </w:rPr>
        <w:t> </w:t>
      </w:r>
      <w:r>
        <w:rPr/>
        <w:t>tomar</w:t>
      </w:r>
      <w:r>
        <w:rPr>
          <w:spacing w:val="-4"/>
        </w:rPr>
        <w:t> </w:t>
      </w:r>
      <w:r>
        <w:rPr/>
        <w:t>conhecimento</w:t>
      </w:r>
      <w:r>
        <w:rPr>
          <w:spacing w:val="-3"/>
        </w:rPr>
        <w:t> </w:t>
      </w:r>
      <w:r>
        <w:rPr/>
        <w:t>tão</w:t>
      </w:r>
      <w:r>
        <w:rPr>
          <w:spacing w:val="-3"/>
        </w:rPr>
        <w:t> </w:t>
      </w:r>
      <w:r>
        <w:rPr/>
        <w:t>logo</w:t>
      </w:r>
      <w:r>
        <w:rPr>
          <w:spacing w:val="-3"/>
        </w:rPr>
        <w:t> </w:t>
      </w:r>
      <w:r>
        <w:rPr/>
        <w:t>haja</w:t>
      </w:r>
      <w:r>
        <w:rPr>
          <w:spacing w:val="-3"/>
        </w:rPr>
        <w:t> </w:t>
      </w:r>
      <w:r>
        <w:rPr/>
        <w:t>manifestação</w:t>
      </w:r>
      <w:r>
        <w:rPr>
          <w:spacing w:val="-3"/>
        </w:rPr>
        <w:t> </w:t>
      </w:r>
      <w:r>
        <w:rPr/>
        <w:t>conclusiva</w:t>
      </w:r>
      <w:r>
        <w:rPr>
          <w:spacing w:val="-3"/>
        </w:rPr>
        <w:t> </w:t>
      </w:r>
      <w:r>
        <w:rPr/>
        <w:t>do</w:t>
      </w:r>
      <w:r>
        <w:rPr>
          <w:spacing w:val="-3"/>
        </w:rPr>
        <w:t> </w:t>
      </w:r>
      <w:r>
        <w:rPr/>
        <w:t>Jurídico</w:t>
      </w:r>
      <w:r>
        <w:rPr>
          <w:spacing w:val="-3"/>
        </w:rPr>
        <w:t> </w:t>
      </w:r>
      <w:r>
        <w:rPr/>
        <w:t>da</w:t>
      </w:r>
      <w:r>
        <w:rPr>
          <w:spacing w:val="-3"/>
        </w:rPr>
        <w:t> </w:t>
      </w:r>
      <w:r>
        <w:rPr/>
        <w:t>Companhia, oportunidade em que o respectivo posicionamento deverá ser apresentado ao CONFIS.</w:t>
      </w:r>
    </w:p>
    <w:p>
      <w:pPr>
        <w:pStyle w:val="BodyText"/>
        <w:spacing w:after="0"/>
        <w:jc w:val="both"/>
        <w:sectPr>
          <w:pgSz w:w="11900" w:h="16840"/>
          <w:pgMar w:header="0" w:footer="181" w:top="500" w:bottom="380" w:left="566" w:right="566"/>
        </w:sectPr>
      </w:pPr>
    </w:p>
    <w:p>
      <w:pPr>
        <w:pStyle w:val="ListParagraph"/>
        <w:numPr>
          <w:ilvl w:val="0"/>
          <w:numId w:val="2"/>
        </w:numPr>
        <w:tabs>
          <w:tab w:pos="451" w:val="left" w:leader="none"/>
        </w:tabs>
        <w:spacing w:line="240" w:lineRule="auto" w:before="60" w:after="0"/>
        <w:ind w:left="242" w:right="240" w:firstLine="0"/>
        <w:jc w:val="both"/>
        <w:rPr>
          <w:sz w:val="24"/>
        </w:rPr>
      </w:pPr>
      <w:r>
        <w:rPr>
          <w:b/>
          <w:sz w:val="24"/>
        </w:rPr>
        <w:t>- Atas da 2536ª a 2539ª Reuniões Ordinárias e 93ª a 94ª Reuniões Extraordinárias da DIREXE, realizadas em março/2026 - INDESA - </w:t>
      </w:r>
      <w:r>
        <w:rPr>
          <w:sz w:val="24"/>
        </w:rPr>
        <w:t>A DIREXE, através do Comunicado nº 8/2026/DIREXE-CDC, informou que a Coordenadoria Jurídica informou que, consideradas as atribuições institucionais e os limites de atuação da Coordenadoria Jurídica da Companhia Docas do Ceará, não foram identificados, no âmbito desta unidade, elementos que permitam atestar a instauração de procedimento específico destinado à apuração de responsabilidade relacionada aos fatos em exame, tampouco a efetiva utilização do referido relatório</w:t>
      </w:r>
      <w:r>
        <w:rPr>
          <w:spacing w:val="-2"/>
          <w:sz w:val="24"/>
        </w:rPr>
        <w:t> </w:t>
      </w:r>
      <w:r>
        <w:rPr>
          <w:sz w:val="24"/>
        </w:rPr>
        <w:t>técnico</w:t>
      </w:r>
      <w:r>
        <w:rPr>
          <w:spacing w:val="-2"/>
          <w:sz w:val="24"/>
        </w:rPr>
        <w:t> </w:t>
      </w:r>
      <w:r>
        <w:rPr>
          <w:sz w:val="24"/>
        </w:rPr>
        <w:t>para</w:t>
      </w:r>
      <w:r>
        <w:rPr>
          <w:spacing w:val="-2"/>
          <w:sz w:val="24"/>
        </w:rPr>
        <w:t> </w:t>
      </w:r>
      <w:r>
        <w:rPr>
          <w:sz w:val="24"/>
        </w:rPr>
        <w:t>fins</w:t>
      </w:r>
      <w:r>
        <w:rPr>
          <w:spacing w:val="-2"/>
          <w:sz w:val="24"/>
        </w:rPr>
        <w:t> </w:t>
      </w:r>
      <w:r>
        <w:rPr>
          <w:sz w:val="24"/>
        </w:rPr>
        <w:t>administrativos,</w:t>
      </w:r>
      <w:r>
        <w:rPr>
          <w:spacing w:val="-2"/>
          <w:sz w:val="24"/>
        </w:rPr>
        <w:t> </w:t>
      </w:r>
      <w:r>
        <w:rPr>
          <w:sz w:val="24"/>
        </w:rPr>
        <w:t>contábeis,</w:t>
      </w:r>
      <w:r>
        <w:rPr>
          <w:spacing w:val="-2"/>
          <w:sz w:val="24"/>
        </w:rPr>
        <w:t> </w:t>
      </w:r>
      <w:r>
        <w:rPr>
          <w:sz w:val="24"/>
        </w:rPr>
        <w:t>financeiros</w:t>
      </w:r>
      <w:r>
        <w:rPr>
          <w:spacing w:val="-2"/>
          <w:sz w:val="24"/>
        </w:rPr>
        <w:t> </w:t>
      </w:r>
      <w:r>
        <w:rPr>
          <w:sz w:val="24"/>
        </w:rPr>
        <w:t>ou</w:t>
      </w:r>
      <w:r>
        <w:rPr>
          <w:spacing w:val="-2"/>
          <w:sz w:val="24"/>
        </w:rPr>
        <w:t> </w:t>
      </w:r>
      <w:r>
        <w:rPr>
          <w:sz w:val="24"/>
        </w:rPr>
        <w:t>previdenciários.</w:t>
      </w:r>
      <w:r>
        <w:rPr>
          <w:spacing w:val="-2"/>
          <w:sz w:val="24"/>
        </w:rPr>
        <w:t> </w:t>
      </w:r>
      <w:r>
        <w:rPr>
          <w:sz w:val="24"/>
        </w:rPr>
        <w:t>Ressalva-se,</w:t>
      </w:r>
      <w:r>
        <w:rPr>
          <w:spacing w:val="-2"/>
          <w:sz w:val="24"/>
        </w:rPr>
        <w:t> </w:t>
      </w:r>
      <w:r>
        <w:rPr>
          <w:sz w:val="24"/>
        </w:rPr>
        <w:t>contudo, que a ausência de registros ou informações no âmbito desta Coordenadoria Jurídica não permite concluir, de forma definitiva, pela inexistência de providências adotadas por outras unidades organizacionais da Companhia, sobretudo porque a contratação remonta ao exercício de 2012 e envolve matérias inseridas, predominantemente, nas esferas de competência técnica, financeira, contábil e de gestão de pessoas.</w:t>
      </w:r>
    </w:p>
    <w:p>
      <w:pPr>
        <w:pStyle w:val="BodyText"/>
        <w:spacing w:before="100"/>
        <w:ind w:right="243"/>
        <w:jc w:val="both"/>
      </w:pPr>
      <w:r>
        <w:rPr/>
        <w:t>O Conselho solicita que seja verificado junto a todas as coordenações da companhia envolvidas no projeto se houve aproveitamento do trabalho parcialmente desenvolvido pela contratada e, em caso negativo, se ainda há possibilidade de aproveitamento.</w:t>
      </w:r>
    </w:p>
    <w:p>
      <w:pPr>
        <w:pStyle w:val="BodyText"/>
        <w:spacing w:before="232"/>
        <w:ind w:left="0"/>
      </w:pPr>
    </w:p>
    <w:p>
      <w:pPr>
        <w:pStyle w:val="ListParagraph"/>
        <w:numPr>
          <w:ilvl w:val="0"/>
          <w:numId w:val="2"/>
        </w:numPr>
        <w:tabs>
          <w:tab w:pos="484" w:val="left" w:leader="none"/>
        </w:tabs>
        <w:spacing w:line="240" w:lineRule="auto" w:before="0" w:after="0"/>
        <w:ind w:left="242" w:right="240" w:firstLine="0"/>
        <w:jc w:val="both"/>
        <w:rPr>
          <w:sz w:val="24"/>
        </w:rPr>
      </w:pPr>
      <w:r>
        <w:rPr>
          <w:b/>
          <w:sz w:val="24"/>
        </w:rPr>
        <w:t>- OUTROS ASSUNTOS – Empresa de grande porte - </w:t>
      </w:r>
      <w:r>
        <w:rPr>
          <w:sz w:val="24"/>
        </w:rPr>
        <w:t>A DIREXE, através do Comunicado nº 8/2026/DIREXE-CDC,</w:t>
      </w:r>
      <w:r>
        <w:rPr>
          <w:spacing w:val="-5"/>
          <w:sz w:val="24"/>
        </w:rPr>
        <w:t> </w:t>
      </w:r>
      <w:r>
        <w:rPr>
          <w:sz w:val="24"/>
        </w:rPr>
        <w:t>informou</w:t>
      </w:r>
      <w:r>
        <w:rPr>
          <w:spacing w:val="-5"/>
          <w:sz w:val="24"/>
        </w:rPr>
        <w:t> </w:t>
      </w:r>
      <w:r>
        <w:rPr>
          <w:sz w:val="24"/>
        </w:rPr>
        <w:t>que</w:t>
      </w:r>
      <w:r>
        <w:rPr>
          <w:spacing w:val="-5"/>
          <w:sz w:val="24"/>
        </w:rPr>
        <w:t> </w:t>
      </w:r>
      <w:r>
        <w:rPr>
          <w:sz w:val="24"/>
        </w:rPr>
        <w:t>o</w:t>
      </w:r>
      <w:r>
        <w:rPr>
          <w:spacing w:val="-5"/>
          <w:sz w:val="24"/>
        </w:rPr>
        <w:t> </w:t>
      </w:r>
      <w:r>
        <w:rPr>
          <w:sz w:val="24"/>
        </w:rPr>
        <w:t>Estatuto</w:t>
      </w:r>
      <w:r>
        <w:rPr>
          <w:spacing w:val="-5"/>
          <w:sz w:val="24"/>
        </w:rPr>
        <w:t> </w:t>
      </w:r>
      <w:r>
        <w:rPr>
          <w:sz w:val="24"/>
        </w:rPr>
        <w:t>Social</w:t>
      </w:r>
      <w:r>
        <w:rPr>
          <w:spacing w:val="-5"/>
          <w:sz w:val="24"/>
        </w:rPr>
        <w:t> </w:t>
      </w:r>
      <w:r>
        <w:rPr>
          <w:sz w:val="24"/>
        </w:rPr>
        <w:t>da</w:t>
      </w:r>
      <w:r>
        <w:rPr>
          <w:spacing w:val="-5"/>
          <w:sz w:val="24"/>
        </w:rPr>
        <w:t> </w:t>
      </w:r>
      <w:r>
        <w:rPr>
          <w:sz w:val="24"/>
        </w:rPr>
        <w:t>CDC</w:t>
      </w:r>
      <w:r>
        <w:rPr>
          <w:spacing w:val="-5"/>
          <w:sz w:val="24"/>
        </w:rPr>
        <w:t> </w:t>
      </w:r>
      <w:r>
        <w:rPr>
          <w:sz w:val="24"/>
        </w:rPr>
        <w:t>foi</w:t>
      </w:r>
      <w:r>
        <w:rPr>
          <w:spacing w:val="-5"/>
          <w:sz w:val="24"/>
        </w:rPr>
        <w:t> </w:t>
      </w:r>
      <w:r>
        <w:rPr>
          <w:sz w:val="24"/>
        </w:rPr>
        <w:t>submetido</w:t>
      </w:r>
      <w:r>
        <w:rPr>
          <w:spacing w:val="-5"/>
          <w:sz w:val="24"/>
        </w:rPr>
        <w:t> </w:t>
      </w:r>
      <w:r>
        <w:rPr>
          <w:sz w:val="24"/>
        </w:rPr>
        <w:t>para</w:t>
      </w:r>
      <w:r>
        <w:rPr>
          <w:spacing w:val="-5"/>
          <w:sz w:val="24"/>
        </w:rPr>
        <w:t> </w:t>
      </w:r>
      <w:r>
        <w:rPr>
          <w:sz w:val="24"/>
        </w:rPr>
        <w:t>aprovação</w:t>
      </w:r>
      <w:r>
        <w:rPr>
          <w:spacing w:val="-5"/>
          <w:sz w:val="24"/>
        </w:rPr>
        <w:t> </w:t>
      </w:r>
      <w:r>
        <w:rPr>
          <w:sz w:val="24"/>
        </w:rPr>
        <w:t>do</w:t>
      </w:r>
      <w:r>
        <w:rPr>
          <w:spacing w:val="-5"/>
          <w:sz w:val="24"/>
        </w:rPr>
        <w:t> </w:t>
      </w:r>
      <w:r>
        <w:rPr>
          <w:sz w:val="24"/>
        </w:rPr>
        <w:t>Conselho de Administração em sua última reunião, ocorrida em 29 de Junho de 2026. Entretanto, diante das alterações propostas pelo Consad o documento foi submetido à Coordenadoria Jurídica para nova análise. Sobre o assunto foi emitido o Comunicado CODJUR nº 125/2026, com recomendações de ajustes, motivo pelo qual o documento será novamente analisado pela Direxe e CONSAD.</w:t>
      </w:r>
    </w:p>
    <w:p>
      <w:pPr>
        <w:pStyle w:val="BodyText"/>
        <w:spacing w:before="109"/>
        <w:ind w:right="245"/>
        <w:jc w:val="both"/>
      </w:pPr>
      <w:r>
        <w:rPr/>
        <w:t>O Conselho reitera que a implementação da medida encontra-se em atraso em relação ao prazo legalmente </w:t>
      </w:r>
      <w:r>
        <w:rPr>
          <w:spacing w:val="-2"/>
        </w:rPr>
        <w:t>estabelecido.</w:t>
      </w:r>
    </w:p>
    <w:p>
      <w:pPr>
        <w:pStyle w:val="BodyText"/>
        <w:spacing w:before="233"/>
        <w:ind w:left="0"/>
      </w:pPr>
    </w:p>
    <w:p>
      <w:pPr>
        <w:pStyle w:val="ListParagraph"/>
        <w:numPr>
          <w:ilvl w:val="0"/>
          <w:numId w:val="2"/>
        </w:numPr>
        <w:tabs>
          <w:tab w:pos="567" w:val="left" w:leader="none"/>
        </w:tabs>
        <w:spacing w:line="240" w:lineRule="auto" w:before="0" w:after="0"/>
        <w:ind w:left="242" w:right="247" w:firstLine="0"/>
        <w:jc w:val="both"/>
        <w:rPr>
          <w:sz w:val="24"/>
        </w:rPr>
      </w:pPr>
      <w:r>
        <w:rPr>
          <w:b/>
          <w:sz w:val="24"/>
        </w:rPr>
        <w:t>- Relatório de Auditoria Externa referente ao 3º trimestre / 2025 – Apresentação do Relatório; elaboração de estudo de diagnósticos entraves à antecipação da prestação de contas -</w:t>
      </w:r>
      <w:r>
        <w:rPr>
          <w:b/>
          <w:spacing w:val="-2"/>
          <w:sz w:val="24"/>
        </w:rPr>
        <w:t> </w:t>
      </w:r>
      <w:r>
        <w:rPr>
          <w:sz w:val="24"/>
        </w:rPr>
        <w:t>A DIREXE, através do Comunicado nº 8/2026/DIREXE-CDC, informou que está analisando a demanda junto às áreas técnicas e encaminhará manifestação formal ao Conselho Fiscal.</w:t>
      </w:r>
    </w:p>
    <w:p>
      <w:pPr>
        <w:pStyle w:val="BodyText"/>
        <w:spacing w:before="112"/>
        <w:jc w:val="both"/>
      </w:pPr>
      <w:r>
        <w:rPr/>
        <w:t>O</w:t>
      </w:r>
      <w:r>
        <w:rPr>
          <w:spacing w:val="-10"/>
        </w:rPr>
        <w:t> </w:t>
      </w:r>
      <w:r>
        <w:rPr/>
        <w:t>Conselho</w:t>
      </w:r>
      <w:r>
        <w:rPr>
          <w:spacing w:val="-10"/>
        </w:rPr>
        <w:t> </w:t>
      </w:r>
      <w:r>
        <w:rPr/>
        <w:t>acompanhará</w:t>
      </w:r>
      <w:r>
        <w:rPr>
          <w:spacing w:val="-10"/>
        </w:rPr>
        <w:t> </w:t>
      </w:r>
      <w:r>
        <w:rPr/>
        <w:t>o</w:t>
      </w:r>
      <w:r>
        <w:rPr>
          <w:spacing w:val="-9"/>
        </w:rPr>
        <w:t> </w:t>
      </w:r>
      <w:r>
        <w:rPr>
          <w:spacing w:val="-2"/>
        </w:rPr>
        <w:t>assunto.</w:t>
      </w:r>
    </w:p>
    <w:p>
      <w:pPr>
        <w:pStyle w:val="BodyText"/>
        <w:spacing w:before="235"/>
        <w:ind w:left="0"/>
      </w:pPr>
    </w:p>
    <w:p>
      <w:pPr>
        <w:pStyle w:val="ListParagraph"/>
        <w:numPr>
          <w:ilvl w:val="0"/>
          <w:numId w:val="2"/>
        </w:numPr>
        <w:tabs>
          <w:tab w:pos="571" w:val="left" w:leader="none"/>
        </w:tabs>
        <w:spacing w:line="240" w:lineRule="auto" w:before="0" w:after="0"/>
        <w:ind w:left="242" w:right="239" w:firstLine="0"/>
        <w:jc w:val="both"/>
        <w:rPr>
          <w:sz w:val="24"/>
        </w:rPr>
      </w:pPr>
      <w:r>
        <w:rPr>
          <w:b/>
          <w:sz w:val="24"/>
        </w:rPr>
        <w:t>- Autorizações DIRPRE realizadas em março / 2026 - Contratação de Auditoria Externa - </w:t>
      </w:r>
      <w:r>
        <w:rPr>
          <w:sz w:val="24"/>
        </w:rPr>
        <w:t>A DIREXE, através do Comunicado nº 8/2026/DIREXE-CDC, informou que o processo será submetido para homologação, por parte do Conselho de Administração, em sua reunião que ocorrerá dia 03 de agosto de </w:t>
      </w:r>
      <w:r>
        <w:rPr>
          <w:spacing w:val="-2"/>
          <w:sz w:val="24"/>
        </w:rPr>
        <w:t>2026.</w:t>
      </w:r>
    </w:p>
    <w:p>
      <w:pPr>
        <w:pStyle w:val="BodyText"/>
        <w:spacing w:before="113"/>
        <w:ind w:right="243"/>
        <w:jc w:val="both"/>
      </w:pPr>
      <w:r>
        <w:rPr/>
        <w:t>O Conselho reitera sua preocupação com o atraso na apreciação das demonstrações financeiras referentes ao 1º e ao 2º trimestres de 2026.</w:t>
      </w:r>
    </w:p>
    <w:p>
      <w:pPr>
        <w:pStyle w:val="BodyText"/>
        <w:spacing w:before="233"/>
        <w:ind w:left="0"/>
      </w:pPr>
    </w:p>
    <w:p>
      <w:pPr>
        <w:pStyle w:val="ListParagraph"/>
        <w:numPr>
          <w:ilvl w:val="0"/>
          <w:numId w:val="2"/>
        </w:numPr>
        <w:tabs>
          <w:tab w:pos="588" w:val="left" w:leader="none"/>
        </w:tabs>
        <w:spacing w:line="240" w:lineRule="auto" w:before="0" w:after="0"/>
        <w:ind w:left="242" w:right="248" w:firstLine="0"/>
        <w:jc w:val="both"/>
        <w:rPr>
          <w:sz w:val="24"/>
        </w:rPr>
      </w:pPr>
      <w:r>
        <w:rPr>
          <w:b/>
          <w:sz w:val="24"/>
        </w:rPr>
        <w:t>- Análise do Balancete e acompanhamento mensal dos resultados econômicos – financeiros – março / 2026 – Pagamentos de notas fiscais acumuladas -</w:t>
      </w:r>
      <w:r>
        <w:rPr>
          <w:b/>
          <w:spacing w:val="-2"/>
          <w:sz w:val="24"/>
        </w:rPr>
        <w:t> </w:t>
      </w:r>
      <w:r>
        <w:rPr>
          <w:sz w:val="24"/>
        </w:rPr>
        <w:t>A DIREXE, através do Comunicado nº 8/2026/DIREXE-CDC, informou que o relatório solicitado será encaminhado ao Conselho Fiscal mensalmente, a partir da reunião de Agosto/2026.</w:t>
      </w:r>
    </w:p>
    <w:p>
      <w:pPr>
        <w:pStyle w:val="BodyText"/>
        <w:spacing w:before="112"/>
        <w:jc w:val="both"/>
      </w:pPr>
      <w:r>
        <w:rPr/>
        <w:t>O</w:t>
      </w:r>
      <w:r>
        <w:rPr>
          <w:spacing w:val="-10"/>
        </w:rPr>
        <w:t> </w:t>
      </w:r>
      <w:r>
        <w:rPr/>
        <w:t>Conselho</w:t>
      </w:r>
      <w:r>
        <w:rPr>
          <w:spacing w:val="-10"/>
        </w:rPr>
        <w:t> </w:t>
      </w:r>
      <w:r>
        <w:rPr/>
        <w:t>acompanhará</w:t>
      </w:r>
      <w:r>
        <w:rPr>
          <w:spacing w:val="-10"/>
        </w:rPr>
        <w:t> </w:t>
      </w:r>
      <w:r>
        <w:rPr/>
        <w:t>o</w:t>
      </w:r>
      <w:r>
        <w:rPr>
          <w:spacing w:val="-9"/>
        </w:rPr>
        <w:t> </w:t>
      </w:r>
      <w:r>
        <w:rPr>
          <w:spacing w:val="-2"/>
        </w:rPr>
        <w:t>assunto.</w:t>
      </w:r>
    </w:p>
    <w:p>
      <w:pPr>
        <w:pStyle w:val="BodyText"/>
        <w:spacing w:before="235"/>
        <w:ind w:left="0"/>
      </w:pPr>
    </w:p>
    <w:p>
      <w:pPr>
        <w:pStyle w:val="ListParagraph"/>
        <w:numPr>
          <w:ilvl w:val="0"/>
          <w:numId w:val="2"/>
        </w:numPr>
        <w:tabs>
          <w:tab w:pos="608" w:val="left" w:leader="none"/>
        </w:tabs>
        <w:spacing w:line="240" w:lineRule="auto" w:before="0" w:after="0"/>
        <w:ind w:left="242" w:right="245" w:firstLine="0"/>
        <w:jc w:val="both"/>
        <w:rPr>
          <w:sz w:val="24"/>
        </w:rPr>
      </w:pPr>
      <w:r>
        <w:rPr>
          <w:b/>
          <w:sz w:val="24"/>
        </w:rPr>
        <w:t>- Atas das 172ª e 173ª Reuniões Ordinárias do Comitê de Auditoria Estatutário da CDC, realizadas em abril/2026 – Ajuste no cronograma das Demonstrações financeiras - </w:t>
      </w:r>
      <w:r>
        <w:rPr>
          <w:sz w:val="24"/>
        </w:rPr>
        <w:t>A DIREXE, através</w:t>
      </w:r>
      <w:r>
        <w:rPr>
          <w:spacing w:val="-4"/>
          <w:sz w:val="24"/>
        </w:rPr>
        <w:t> </w:t>
      </w:r>
      <w:r>
        <w:rPr>
          <w:sz w:val="24"/>
        </w:rPr>
        <w:t>do</w:t>
      </w:r>
      <w:r>
        <w:rPr>
          <w:spacing w:val="-3"/>
          <w:sz w:val="24"/>
        </w:rPr>
        <w:t> </w:t>
      </w:r>
      <w:r>
        <w:rPr>
          <w:sz w:val="24"/>
        </w:rPr>
        <w:t>Comunicado</w:t>
      </w:r>
      <w:r>
        <w:rPr>
          <w:spacing w:val="-3"/>
          <w:sz w:val="24"/>
        </w:rPr>
        <w:t> </w:t>
      </w:r>
      <w:r>
        <w:rPr>
          <w:sz w:val="24"/>
        </w:rPr>
        <w:t>nº</w:t>
      </w:r>
      <w:r>
        <w:rPr>
          <w:spacing w:val="-4"/>
          <w:sz w:val="24"/>
        </w:rPr>
        <w:t> </w:t>
      </w:r>
      <w:r>
        <w:rPr>
          <w:sz w:val="24"/>
        </w:rPr>
        <w:t>8/2026/DIREXE-CDC,</w:t>
      </w:r>
      <w:r>
        <w:rPr>
          <w:spacing w:val="-3"/>
          <w:sz w:val="24"/>
        </w:rPr>
        <w:t> </w:t>
      </w:r>
      <w:r>
        <w:rPr>
          <w:sz w:val="24"/>
        </w:rPr>
        <w:t>informou</w:t>
      </w:r>
      <w:r>
        <w:rPr>
          <w:spacing w:val="-3"/>
          <w:sz w:val="24"/>
        </w:rPr>
        <w:t> </w:t>
      </w:r>
      <w:r>
        <w:rPr>
          <w:sz w:val="24"/>
        </w:rPr>
        <w:t>que</w:t>
      </w:r>
      <w:r>
        <w:rPr>
          <w:spacing w:val="-3"/>
          <w:sz w:val="24"/>
        </w:rPr>
        <w:t> </w:t>
      </w:r>
      <w:r>
        <w:rPr>
          <w:sz w:val="24"/>
        </w:rPr>
        <w:t>a</w:t>
      </w:r>
      <w:r>
        <w:rPr>
          <w:spacing w:val="-3"/>
          <w:sz w:val="24"/>
        </w:rPr>
        <w:t> </w:t>
      </w:r>
      <w:r>
        <w:rPr>
          <w:sz w:val="24"/>
        </w:rPr>
        <w:t>Coordenadoria</w:t>
      </w:r>
      <w:r>
        <w:rPr>
          <w:spacing w:val="-3"/>
          <w:sz w:val="24"/>
        </w:rPr>
        <w:t> </w:t>
      </w:r>
      <w:r>
        <w:rPr>
          <w:sz w:val="24"/>
        </w:rPr>
        <w:t>Financeira</w:t>
      </w:r>
      <w:r>
        <w:rPr>
          <w:spacing w:val="-3"/>
          <w:sz w:val="24"/>
        </w:rPr>
        <w:t> </w:t>
      </w:r>
      <w:r>
        <w:rPr>
          <w:sz w:val="24"/>
        </w:rPr>
        <w:t>informou</w:t>
      </w:r>
      <w:r>
        <w:rPr>
          <w:spacing w:val="-3"/>
          <w:sz w:val="24"/>
        </w:rPr>
        <w:t> </w:t>
      </w:r>
      <w:r>
        <w:rPr>
          <w:sz w:val="24"/>
        </w:rPr>
        <w:t>que o cronograma de execução será devidamente retificado e atualizado após a conclusão da contratação da empresa de auditoria independente, ocasião em que serão definidos e divulgados os novos prazos para a execução das atividades previstas.</w:t>
      </w:r>
    </w:p>
    <w:p>
      <w:pPr>
        <w:pStyle w:val="BodyText"/>
        <w:spacing w:before="109"/>
        <w:jc w:val="both"/>
      </w:pPr>
      <w:r>
        <w:rPr/>
        <w:t>Conforme</w:t>
      </w:r>
      <w:r>
        <w:rPr>
          <w:spacing w:val="62"/>
        </w:rPr>
        <w:t> </w:t>
      </w:r>
      <w:r>
        <w:rPr/>
        <w:t>convocação</w:t>
      </w:r>
      <w:r>
        <w:rPr>
          <w:spacing w:val="62"/>
        </w:rPr>
        <w:t> </w:t>
      </w:r>
      <w:r>
        <w:rPr/>
        <w:t>realizada</w:t>
      </w:r>
      <w:r>
        <w:rPr>
          <w:spacing w:val="62"/>
        </w:rPr>
        <w:t> </w:t>
      </w:r>
      <w:r>
        <w:rPr/>
        <w:t>na</w:t>
      </w:r>
      <w:r>
        <w:rPr>
          <w:spacing w:val="62"/>
        </w:rPr>
        <w:t> </w:t>
      </w:r>
      <w:r>
        <w:rPr/>
        <w:t>reunião</w:t>
      </w:r>
      <w:r>
        <w:rPr>
          <w:spacing w:val="62"/>
        </w:rPr>
        <w:t> </w:t>
      </w:r>
      <w:r>
        <w:rPr/>
        <w:t>anterior,</w:t>
      </w:r>
      <w:r>
        <w:rPr>
          <w:spacing w:val="62"/>
        </w:rPr>
        <w:t> </w:t>
      </w:r>
      <w:r>
        <w:rPr/>
        <w:t>compareceram</w:t>
      </w:r>
      <w:r>
        <w:rPr>
          <w:spacing w:val="62"/>
        </w:rPr>
        <w:t> </w:t>
      </w:r>
      <w:r>
        <w:rPr/>
        <w:t>à</w:t>
      </w:r>
      <w:r>
        <w:rPr>
          <w:spacing w:val="62"/>
        </w:rPr>
        <w:t> </w:t>
      </w:r>
      <w:r>
        <w:rPr/>
        <w:t>reunião,</w:t>
      </w:r>
      <w:r>
        <w:rPr>
          <w:spacing w:val="62"/>
        </w:rPr>
        <w:t> </w:t>
      </w:r>
      <w:r>
        <w:rPr/>
        <w:t>de</w:t>
      </w:r>
      <w:r>
        <w:rPr>
          <w:spacing w:val="62"/>
        </w:rPr>
        <w:t> </w:t>
      </w:r>
      <w:r>
        <w:rPr/>
        <w:t>forma</w:t>
      </w:r>
      <w:r>
        <w:rPr>
          <w:spacing w:val="62"/>
        </w:rPr>
        <w:t> </w:t>
      </w:r>
      <w:r>
        <w:rPr/>
        <w:t>virtual,</w:t>
      </w:r>
      <w:r>
        <w:rPr>
          <w:spacing w:val="62"/>
        </w:rPr>
        <w:t> </w:t>
      </w:r>
      <w:r>
        <w:rPr>
          <w:spacing w:val="-5"/>
        </w:rPr>
        <w:t>os</w:t>
      </w:r>
    </w:p>
    <w:p>
      <w:pPr>
        <w:pStyle w:val="BodyText"/>
        <w:spacing w:after="0"/>
        <w:jc w:val="both"/>
        <w:sectPr>
          <w:pgSz w:w="11900" w:h="16840"/>
          <w:pgMar w:header="0" w:footer="181" w:top="500" w:bottom="380" w:left="566" w:right="566"/>
        </w:sectPr>
      </w:pPr>
    </w:p>
    <w:p>
      <w:pPr>
        <w:pStyle w:val="BodyText"/>
        <w:spacing w:before="60"/>
        <w:ind w:right="264"/>
        <w:jc w:val="both"/>
      </w:pPr>
      <w:r>
        <w:rPr/>
        <w:t>membros do Comitê de</w:t>
      </w:r>
      <w:r>
        <w:rPr>
          <w:spacing w:val="-7"/>
        </w:rPr>
        <w:t> </w:t>
      </w:r>
      <w:r>
        <w:rPr/>
        <w:t>Auditoria Estatutário, Sr. Maurício</w:t>
      </w:r>
      <w:r>
        <w:rPr>
          <w:spacing w:val="-7"/>
        </w:rPr>
        <w:t> </w:t>
      </w:r>
      <w:r>
        <w:rPr/>
        <w:t>Augusto Souza Lopes e Sr. Josevaldo Nergino de Sousa. Também esteve presente o Sr. Edgar Ribeiro, Coordenador Financeiro, representando o Diretor Financeiro, que não compareceu à reunião.</w:t>
      </w:r>
    </w:p>
    <w:p>
      <w:pPr>
        <w:pStyle w:val="BodyText"/>
        <w:spacing w:before="114"/>
        <w:ind w:right="246"/>
        <w:jc w:val="both"/>
      </w:pPr>
      <w:r>
        <w:rPr/>
        <w:t>Considerando</w:t>
      </w:r>
      <w:r>
        <w:rPr>
          <w:spacing w:val="-5"/>
        </w:rPr>
        <w:t> </w:t>
      </w:r>
      <w:r>
        <w:rPr/>
        <w:t>a</w:t>
      </w:r>
      <w:r>
        <w:rPr>
          <w:spacing w:val="-5"/>
        </w:rPr>
        <w:t> </w:t>
      </w:r>
      <w:r>
        <w:rPr/>
        <w:t>ausência</w:t>
      </w:r>
      <w:r>
        <w:rPr>
          <w:spacing w:val="-5"/>
        </w:rPr>
        <w:t> </w:t>
      </w:r>
      <w:r>
        <w:rPr/>
        <w:t>do</w:t>
      </w:r>
      <w:r>
        <w:rPr>
          <w:spacing w:val="-5"/>
        </w:rPr>
        <w:t> </w:t>
      </w:r>
      <w:r>
        <w:rPr/>
        <w:t>Diretor</w:t>
      </w:r>
      <w:r>
        <w:rPr>
          <w:spacing w:val="-5"/>
        </w:rPr>
        <w:t> </w:t>
      </w:r>
      <w:r>
        <w:rPr/>
        <w:t>Financeiro,</w:t>
      </w:r>
      <w:r>
        <w:rPr>
          <w:spacing w:val="-5"/>
        </w:rPr>
        <w:t> </w:t>
      </w:r>
      <w:r>
        <w:rPr/>
        <w:t>bem</w:t>
      </w:r>
      <w:r>
        <w:rPr>
          <w:spacing w:val="-5"/>
        </w:rPr>
        <w:t> </w:t>
      </w:r>
      <w:r>
        <w:rPr/>
        <w:t>como</w:t>
      </w:r>
      <w:r>
        <w:rPr>
          <w:spacing w:val="-5"/>
        </w:rPr>
        <w:t> </w:t>
      </w:r>
      <w:r>
        <w:rPr/>
        <w:t>a</w:t>
      </w:r>
      <w:r>
        <w:rPr>
          <w:spacing w:val="-5"/>
        </w:rPr>
        <w:t> </w:t>
      </w:r>
      <w:r>
        <w:rPr/>
        <w:t>não</w:t>
      </w:r>
      <w:r>
        <w:rPr>
          <w:spacing w:val="-5"/>
        </w:rPr>
        <w:t> </w:t>
      </w:r>
      <w:r>
        <w:rPr/>
        <w:t>prestação</w:t>
      </w:r>
      <w:r>
        <w:rPr>
          <w:spacing w:val="-5"/>
        </w:rPr>
        <w:t> </w:t>
      </w:r>
      <w:r>
        <w:rPr/>
        <w:t>de</w:t>
      </w:r>
      <w:r>
        <w:rPr>
          <w:spacing w:val="-5"/>
        </w:rPr>
        <w:t> </w:t>
      </w:r>
      <w:r>
        <w:rPr/>
        <w:t>informações</w:t>
      </w:r>
      <w:r>
        <w:rPr>
          <w:spacing w:val="-5"/>
        </w:rPr>
        <w:t> </w:t>
      </w:r>
      <w:r>
        <w:rPr/>
        <w:t>mais</w:t>
      </w:r>
      <w:r>
        <w:rPr>
          <w:spacing w:val="-5"/>
        </w:rPr>
        <w:t> </w:t>
      </w:r>
      <w:r>
        <w:rPr/>
        <w:t>detalhadas e atualizadas sobre o tratamento da matéria pela Diretoria Executiva, a tentativa de concluir em conjunto a elaboração de um adequado calendário para a apresentação e aprovação, pelos órgãos estatutários, das demonstrações financeiras mensais, trimestrais e anuais referentes ao exercício social de 2026 restou </w:t>
      </w:r>
      <w:r>
        <w:rPr>
          <w:spacing w:val="-2"/>
        </w:rPr>
        <w:t>prejudicada.</w:t>
      </w:r>
    </w:p>
    <w:p>
      <w:pPr>
        <w:pStyle w:val="BodyText"/>
        <w:spacing w:before="111"/>
        <w:ind w:right="240"/>
        <w:jc w:val="both"/>
      </w:pPr>
      <w:r>
        <w:rPr/>
        <w:t>O Conselho Fiscal reitera, portanto, com a concordância do COAUD, a necessidade de que a Diretoria Executiva</w:t>
      </w:r>
      <w:r>
        <w:rPr>
          <w:spacing w:val="-7"/>
        </w:rPr>
        <w:t> </w:t>
      </w:r>
      <w:r>
        <w:rPr/>
        <w:t>da</w:t>
      </w:r>
      <w:r>
        <w:rPr>
          <w:spacing w:val="-7"/>
        </w:rPr>
        <w:t> </w:t>
      </w:r>
      <w:r>
        <w:rPr/>
        <w:t>companhia</w:t>
      </w:r>
      <w:r>
        <w:rPr>
          <w:spacing w:val="-7"/>
        </w:rPr>
        <w:t> </w:t>
      </w:r>
      <w:r>
        <w:rPr/>
        <w:t>reveja,</w:t>
      </w:r>
      <w:r>
        <w:rPr>
          <w:spacing w:val="-7"/>
        </w:rPr>
        <w:t> </w:t>
      </w:r>
      <w:r>
        <w:rPr/>
        <w:t>com</w:t>
      </w:r>
      <w:r>
        <w:rPr>
          <w:spacing w:val="-7"/>
        </w:rPr>
        <w:t> </w:t>
      </w:r>
      <w:r>
        <w:rPr/>
        <w:t>máxima</w:t>
      </w:r>
      <w:r>
        <w:rPr>
          <w:spacing w:val="-7"/>
        </w:rPr>
        <w:t> </w:t>
      </w:r>
      <w:r>
        <w:rPr/>
        <w:t>urgência,</w:t>
      </w:r>
      <w:r>
        <w:rPr>
          <w:spacing w:val="-7"/>
        </w:rPr>
        <w:t> </w:t>
      </w:r>
      <w:r>
        <w:rPr/>
        <w:t>o</w:t>
      </w:r>
      <w:r>
        <w:rPr>
          <w:spacing w:val="-7"/>
        </w:rPr>
        <w:t> </w:t>
      </w:r>
      <w:r>
        <w:rPr/>
        <w:t>cronograma</w:t>
      </w:r>
      <w:r>
        <w:rPr>
          <w:spacing w:val="-7"/>
        </w:rPr>
        <w:t> </w:t>
      </w:r>
      <w:r>
        <w:rPr/>
        <w:t>relativo</w:t>
      </w:r>
      <w:r>
        <w:rPr>
          <w:spacing w:val="-7"/>
        </w:rPr>
        <w:t> </w:t>
      </w:r>
      <w:r>
        <w:rPr/>
        <w:t>à</w:t>
      </w:r>
      <w:r>
        <w:rPr>
          <w:spacing w:val="-7"/>
        </w:rPr>
        <w:t> </w:t>
      </w:r>
      <w:r>
        <w:rPr/>
        <w:t>apresentação</w:t>
      </w:r>
      <w:r>
        <w:rPr>
          <w:spacing w:val="-7"/>
        </w:rPr>
        <w:t> </w:t>
      </w:r>
      <w:r>
        <w:rPr/>
        <w:t>e</w:t>
      </w:r>
      <w:r>
        <w:rPr>
          <w:spacing w:val="-7"/>
        </w:rPr>
        <w:t> </w:t>
      </w:r>
      <w:r>
        <w:rPr/>
        <w:t>à</w:t>
      </w:r>
      <w:r>
        <w:rPr>
          <w:spacing w:val="-7"/>
        </w:rPr>
        <w:t> </w:t>
      </w:r>
      <w:r>
        <w:rPr/>
        <w:t>aprovação das referidas demonstrações financeiras do corrente ano; sendo imprescindível (conforme determinado, inclusive, pelo Conselho de Administração) a antecipação das datas atualmente programadas, de modo a garantir a observância a prazos mínimos de boa governança para uma adequada análise das contas da companhia, sobretudo as anuais, e para a correspondente emissão de parecer, primeiramente pelo COAUD (com vistas a subsidiar a decisão do Conselho de</w:t>
      </w:r>
      <w:r>
        <w:rPr>
          <w:spacing w:val="-7"/>
        </w:rPr>
        <w:t> </w:t>
      </w:r>
      <w:r>
        <w:rPr/>
        <w:t>Administração sobre a matéria) e, somente ao final, pelo Conselho Fiscal (com fim a fundamentar a deliberação dos acionistas em AGO).</w:t>
      </w:r>
    </w:p>
    <w:p>
      <w:pPr>
        <w:pStyle w:val="BodyText"/>
        <w:spacing w:before="105"/>
        <w:ind w:right="241"/>
        <w:jc w:val="both"/>
      </w:pPr>
      <w:r>
        <w:rPr/>
        <w:t>Ante as omissões e dificuldades enfrentadas para atendimento dessa antiga demanda, o Conselho Fiscal encaminha assunto para conhecimento e específica avaliação pelo Conselho de Administração.</w:t>
      </w:r>
    </w:p>
    <w:p>
      <w:pPr>
        <w:pStyle w:val="BodyText"/>
        <w:spacing w:before="233"/>
        <w:ind w:left="0"/>
      </w:pPr>
    </w:p>
    <w:p>
      <w:pPr>
        <w:pStyle w:val="Heading2"/>
        <w:numPr>
          <w:ilvl w:val="0"/>
          <w:numId w:val="2"/>
        </w:numPr>
        <w:tabs>
          <w:tab w:pos="545" w:val="left" w:leader="none"/>
        </w:tabs>
        <w:spacing w:line="275" w:lineRule="exact" w:before="0" w:after="0"/>
        <w:ind w:left="545" w:right="0" w:hanging="303"/>
        <w:jc w:val="both"/>
      </w:pPr>
      <w:r>
        <w:rPr/>
        <w:t>-</w:t>
      </w:r>
      <w:r>
        <w:rPr>
          <w:spacing w:val="-15"/>
        </w:rPr>
        <w:t> </w:t>
      </w:r>
      <w:r>
        <w:rPr/>
        <w:t>Análise</w:t>
      </w:r>
      <w:r>
        <w:rPr>
          <w:spacing w:val="-6"/>
        </w:rPr>
        <w:t> </w:t>
      </w:r>
      <w:r>
        <w:rPr/>
        <w:t>do</w:t>
      </w:r>
      <w:r>
        <w:rPr>
          <w:spacing w:val="-6"/>
        </w:rPr>
        <w:t> </w:t>
      </w:r>
      <w:r>
        <w:rPr/>
        <w:t>Balancete</w:t>
      </w:r>
      <w:r>
        <w:rPr>
          <w:spacing w:val="-5"/>
        </w:rPr>
        <w:t> </w:t>
      </w:r>
      <w:r>
        <w:rPr/>
        <w:t>e</w:t>
      </w:r>
      <w:r>
        <w:rPr>
          <w:spacing w:val="-6"/>
        </w:rPr>
        <w:t> </w:t>
      </w:r>
      <w:r>
        <w:rPr/>
        <w:t>acompanhamento</w:t>
      </w:r>
      <w:r>
        <w:rPr>
          <w:spacing w:val="-5"/>
        </w:rPr>
        <w:t> </w:t>
      </w:r>
      <w:r>
        <w:rPr/>
        <w:t>mensal</w:t>
      </w:r>
      <w:r>
        <w:rPr>
          <w:spacing w:val="-6"/>
        </w:rPr>
        <w:t> </w:t>
      </w:r>
      <w:r>
        <w:rPr/>
        <w:t>dos</w:t>
      </w:r>
      <w:r>
        <w:rPr>
          <w:spacing w:val="-5"/>
        </w:rPr>
        <w:t> </w:t>
      </w:r>
      <w:r>
        <w:rPr/>
        <w:t>resultados</w:t>
      </w:r>
      <w:r>
        <w:rPr>
          <w:spacing w:val="-6"/>
        </w:rPr>
        <w:t> </w:t>
      </w:r>
      <w:r>
        <w:rPr/>
        <w:t>econômicos</w:t>
      </w:r>
      <w:r>
        <w:rPr>
          <w:spacing w:val="-5"/>
        </w:rPr>
        <w:t> </w:t>
      </w:r>
      <w:r>
        <w:rPr/>
        <w:t>–</w:t>
      </w:r>
      <w:r>
        <w:rPr>
          <w:spacing w:val="-6"/>
        </w:rPr>
        <w:t> </w:t>
      </w:r>
      <w:r>
        <w:rPr/>
        <w:t>financeiros</w:t>
      </w:r>
      <w:r>
        <w:rPr>
          <w:spacing w:val="-5"/>
        </w:rPr>
        <w:t> </w:t>
      </w:r>
      <w:r>
        <w:rPr/>
        <w:t>–</w:t>
      </w:r>
      <w:r>
        <w:rPr>
          <w:spacing w:val="-5"/>
        </w:rPr>
        <w:t> </w:t>
      </w:r>
      <w:r>
        <w:rPr>
          <w:spacing w:val="-2"/>
        </w:rPr>
        <w:t>abril</w:t>
      </w:r>
    </w:p>
    <w:p>
      <w:pPr>
        <w:pStyle w:val="BodyText"/>
        <w:ind w:right="240"/>
        <w:jc w:val="both"/>
      </w:pPr>
      <w:r>
        <w:rPr>
          <w:b/>
        </w:rPr>
        <w:t>/ 2026 - Assistência Médica - </w:t>
      </w:r>
      <w:r>
        <w:rPr/>
        <w:t>A DIREXE, através do Comunicado nº 8/2026/DIREXE-CDC, informou que a Coordenadoria Financeira (CODFIN) informa que, no mês de abril de 2026, foi registrada a Nota Fiscal nº 86105628, emitida pela Hapvida, no valor total de R$ 109.564,80. Durante a análise contábil, constatou-se</w:t>
      </w:r>
      <w:r>
        <w:rPr>
          <w:spacing w:val="-4"/>
        </w:rPr>
        <w:t> </w:t>
      </w:r>
      <w:r>
        <w:rPr/>
        <w:t>que</w:t>
      </w:r>
      <w:r>
        <w:rPr>
          <w:spacing w:val="-4"/>
        </w:rPr>
        <w:t> </w:t>
      </w:r>
      <w:r>
        <w:rPr/>
        <w:t>não</w:t>
      </w:r>
      <w:r>
        <w:rPr>
          <w:spacing w:val="-4"/>
        </w:rPr>
        <w:t> </w:t>
      </w:r>
      <w:r>
        <w:rPr/>
        <w:t>foi</w:t>
      </w:r>
      <w:r>
        <w:rPr>
          <w:spacing w:val="-4"/>
        </w:rPr>
        <w:t> </w:t>
      </w:r>
      <w:r>
        <w:rPr/>
        <w:t>realizado</w:t>
      </w:r>
      <w:r>
        <w:rPr>
          <w:spacing w:val="-4"/>
        </w:rPr>
        <w:t> </w:t>
      </w:r>
      <w:r>
        <w:rPr/>
        <w:t>o</w:t>
      </w:r>
      <w:r>
        <w:rPr>
          <w:spacing w:val="-4"/>
        </w:rPr>
        <w:t> </w:t>
      </w:r>
      <w:r>
        <w:rPr/>
        <w:t>rateio</w:t>
      </w:r>
      <w:r>
        <w:rPr>
          <w:spacing w:val="-4"/>
        </w:rPr>
        <w:t> </w:t>
      </w:r>
      <w:r>
        <w:rPr/>
        <w:t>da</w:t>
      </w:r>
      <w:r>
        <w:rPr>
          <w:spacing w:val="-4"/>
        </w:rPr>
        <w:t> </w:t>
      </w:r>
      <w:r>
        <w:rPr/>
        <w:t>despesa</w:t>
      </w:r>
      <w:r>
        <w:rPr>
          <w:spacing w:val="-4"/>
        </w:rPr>
        <w:t> </w:t>
      </w:r>
      <w:r>
        <w:rPr/>
        <w:t>conforme</w:t>
      </w:r>
      <w:r>
        <w:rPr>
          <w:spacing w:val="-4"/>
        </w:rPr>
        <w:t> </w:t>
      </w:r>
      <w:r>
        <w:rPr/>
        <w:t>os</w:t>
      </w:r>
      <w:r>
        <w:rPr>
          <w:spacing w:val="-4"/>
        </w:rPr>
        <w:t> </w:t>
      </w:r>
      <w:r>
        <w:rPr/>
        <w:t>critérios</w:t>
      </w:r>
      <w:r>
        <w:rPr>
          <w:spacing w:val="-4"/>
        </w:rPr>
        <w:t> </w:t>
      </w:r>
      <w:r>
        <w:rPr/>
        <w:t>estabelecidos.</w:t>
      </w:r>
      <w:r>
        <w:rPr>
          <w:spacing w:val="-4"/>
        </w:rPr>
        <w:t> </w:t>
      </w:r>
      <w:r>
        <w:rPr/>
        <w:t>O</w:t>
      </w:r>
      <w:r>
        <w:rPr>
          <w:spacing w:val="-4"/>
        </w:rPr>
        <w:t> </w:t>
      </w:r>
      <w:r>
        <w:rPr/>
        <w:t>correto</w:t>
      </w:r>
      <w:r>
        <w:rPr>
          <w:spacing w:val="-4"/>
        </w:rPr>
        <w:t> </w:t>
      </w:r>
      <w:r>
        <w:rPr/>
        <w:t>seria</w:t>
      </w:r>
      <w:r>
        <w:rPr>
          <w:spacing w:val="-4"/>
        </w:rPr>
        <w:t> </w:t>
      </w:r>
      <w:r>
        <w:rPr/>
        <w:t>a apropriação dos valores de R$ 90.860,28 na conta contábil nº 41101010012 e de R$ 18.704,52 na conta contábil nº 51101010015. Em decorrência da ausência do rateio no momento do registro inicial, a despesa foi</w:t>
      </w:r>
      <w:r>
        <w:rPr>
          <w:spacing w:val="-4"/>
        </w:rPr>
        <w:t> </w:t>
      </w:r>
      <w:r>
        <w:rPr/>
        <w:t>contabilizada</w:t>
      </w:r>
      <w:r>
        <w:rPr>
          <w:spacing w:val="-4"/>
        </w:rPr>
        <w:t> </w:t>
      </w:r>
      <w:r>
        <w:rPr/>
        <w:t>de</w:t>
      </w:r>
      <w:r>
        <w:rPr>
          <w:spacing w:val="-4"/>
        </w:rPr>
        <w:t> </w:t>
      </w:r>
      <w:r>
        <w:rPr/>
        <w:t>forma</w:t>
      </w:r>
      <w:r>
        <w:rPr>
          <w:spacing w:val="-4"/>
        </w:rPr>
        <w:t> </w:t>
      </w:r>
      <w:r>
        <w:rPr/>
        <w:t>inadequada,</w:t>
      </w:r>
      <w:r>
        <w:rPr>
          <w:spacing w:val="-4"/>
        </w:rPr>
        <w:t> </w:t>
      </w:r>
      <w:r>
        <w:rPr/>
        <w:t>ocasionando</w:t>
      </w:r>
      <w:r>
        <w:rPr>
          <w:spacing w:val="-4"/>
        </w:rPr>
        <w:t> </w:t>
      </w:r>
      <w:r>
        <w:rPr/>
        <w:t>distorção</w:t>
      </w:r>
      <w:r>
        <w:rPr>
          <w:spacing w:val="-4"/>
        </w:rPr>
        <w:t> </w:t>
      </w:r>
      <w:r>
        <w:rPr/>
        <w:t>temporária</w:t>
      </w:r>
      <w:r>
        <w:rPr>
          <w:spacing w:val="-4"/>
        </w:rPr>
        <w:t> </w:t>
      </w:r>
      <w:r>
        <w:rPr/>
        <w:t>na</w:t>
      </w:r>
      <w:r>
        <w:rPr>
          <w:spacing w:val="-4"/>
        </w:rPr>
        <w:t> </w:t>
      </w:r>
      <w:r>
        <w:rPr/>
        <w:t>composição</w:t>
      </w:r>
      <w:r>
        <w:rPr>
          <w:spacing w:val="-4"/>
        </w:rPr>
        <w:t> </w:t>
      </w:r>
      <w:r>
        <w:rPr/>
        <w:t>das</w:t>
      </w:r>
      <w:r>
        <w:rPr>
          <w:spacing w:val="-4"/>
        </w:rPr>
        <w:t> </w:t>
      </w:r>
      <w:r>
        <w:rPr/>
        <w:t>despesas</w:t>
      </w:r>
      <w:r>
        <w:rPr>
          <w:spacing w:val="-4"/>
        </w:rPr>
        <w:t> </w:t>
      </w:r>
      <w:r>
        <w:rPr/>
        <w:t>com assistência médica. A CODFIN esclarece que a inconsistência foi devidamente regularizada mediante lançamento de reclassificação contábil realizado em 01/05/2026, promovendo a correta alocação dos valores nas respectivas contas de despesas com assistência médica, restabelecendo a adequada evidenciação contábil e a fidedignidade das demonstrações financeiras. Dessa forma, informa-se que a situação encontra-se regularizada, não havendo impactos remanescentes sobre os saldos das contas contábeis envolvidas.</w:t>
      </w:r>
    </w:p>
    <w:p>
      <w:pPr>
        <w:pStyle w:val="BodyText"/>
        <w:spacing w:before="96"/>
        <w:jc w:val="both"/>
      </w:pPr>
      <w:r>
        <w:rPr/>
        <w:t>O</w:t>
      </w:r>
      <w:r>
        <w:rPr>
          <w:spacing w:val="-8"/>
        </w:rPr>
        <w:t> </w:t>
      </w:r>
      <w:r>
        <w:rPr/>
        <w:t>Conselho</w:t>
      </w:r>
      <w:r>
        <w:rPr>
          <w:spacing w:val="-7"/>
        </w:rPr>
        <w:t> </w:t>
      </w:r>
      <w:r>
        <w:rPr/>
        <w:t>retira</w:t>
      </w:r>
      <w:r>
        <w:rPr>
          <w:spacing w:val="-8"/>
        </w:rPr>
        <w:t> </w:t>
      </w:r>
      <w:r>
        <w:rPr/>
        <w:t>a</w:t>
      </w:r>
      <w:r>
        <w:rPr>
          <w:spacing w:val="-7"/>
        </w:rPr>
        <w:t> </w:t>
      </w:r>
      <w:r>
        <w:rPr>
          <w:spacing w:val="-2"/>
        </w:rPr>
        <w:t>pendência.</w:t>
      </w:r>
    </w:p>
    <w:p>
      <w:pPr>
        <w:pStyle w:val="BodyText"/>
        <w:spacing w:before="235"/>
        <w:ind w:left="0"/>
      </w:pPr>
    </w:p>
    <w:p>
      <w:pPr>
        <w:pStyle w:val="Heading2"/>
        <w:numPr>
          <w:ilvl w:val="0"/>
          <w:numId w:val="2"/>
        </w:numPr>
        <w:tabs>
          <w:tab w:pos="545" w:val="left" w:leader="none"/>
        </w:tabs>
        <w:spacing w:line="275" w:lineRule="exact" w:before="0" w:after="0"/>
        <w:ind w:left="545" w:right="0" w:hanging="303"/>
        <w:jc w:val="both"/>
      </w:pPr>
      <w:r>
        <w:rPr/>
        <w:t>-</w:t>
      </w:r>
      <w:r>
        <w:rPr>
          <w:spacing w:val="-15"/>
        </w:rPr>
        <w:t> </w:t>
      </w:r>
      <w:r>
        <w:rPr/>
        <w:t>Análise</w:t>
      </w:r>
      <w:r>
        <w:rPr>
          <w:spacing w:val="-6"/>
        </w:rPr>
        <w:t> </w:t>
      </w:r>
      <w:r>
        <w:rPr/>
        <w:t>do</w:t>
      </w:r>
      <w:r>
        <w:rPr>
          <w:spacing w:val="-6"/>
        </w:rPr>
        <w:t> </w:t>
      </w:r>
      <w:r>
        <w:rPr/>
        <w:t>Balancete</w:t>
      </w:r>
      <w:r>
        <w:rPr>
          <w:spacing w:val="-5"/>
        </w:rPr>
        <w:t> </w:t>
      </w:r>
      <w:r>
        <w:rPr/>
        <w:t>e</w:t>
      </w:r>
      <w:r>
        <w:rPr>
          <w:spacing w:val="-6"/>
        </w:rPr>
        <w:t> </w:t>
      </w:r>
      <w:r>
        <w:rPr/>
        <w:t>acompanhamento</w:t>
      </w:r>
      <w:r>
        <w:rPr>
          <w:spacing w:val="-5"/>
        </w:rPr>
        <w:t> </w:t>
      </w:r>
      <w:r>
        <w:rPr/>
        <w:t>mensal</w:t>
      </w:r>
      <w:r>
        <w:rPr>
          <w:spacing w:val="-6"/>
        </w:rPr>
        <w:t> </w:t>
      </w:r>
      <w:r>
        <w:rPr/>
        <w:t>dos</w:t>
      </w:r>
      <w:r>
        <w:rPr>
          <w:spacing w:val="-5"/>
        </w:rPr>
        <w:t> </w:t>
      </w:r>
      <w:r>
        <w:rPr/>
        <w:t>resultados</w:t>
      </w:r>
      <w:r>
        <w:rPr>
          <w:spacing w:val="-6"/>
        </w:rPr>
        <w:t> </w:t>
      </w:r>
      <w:r>
        <w:rPr/>
        <w:t>econômicos</w:t>
      </w:r>
      <w:r>
        <w:rPr>
          <w:spacing w:val="-5"/>
        </w:rPr>
        <w:t> </w:t>
      </w:r>
      <w:r>
        <w:rPr/>
        <w:t>–</w:t>
      </w:r>
      <w:r>
        <w:rPr>
          <w:spacing w:val="-6"/>
        </w:rPr>
        <w:t> </w:t>
      </w:r>
      <w:r>
        <w:rPr/>
        <w:t>financeiros</w:t>
      </w:r>
      <w:r>
        <w:rPr>
          <w:spacing w:val="-5"/>
        </w:rPr>
        <w:t> </w:t>
      </w:r>
      <w:r>
        <w:rPr/>
        <w:t>–</w:t>
      </w:r>
      <w:r>
        <w:rPr>
          <w:spacing w:val="-5"/>
        </w:rPr>
        <w:t> </w:t>
      </w:r>
      <w:r>
        <w:rPr>
          <w:spacing w:val="-2"/>
        </w:rPr>
        <w:t>abril</w:t>
      </w:r>
    </w:p>
    <w:p>
      <w:pPr>
        <w:pStyle w:val="BodyText"/>
        <w:ind w:right="239"/>
        <w:jc w:val="both"/>
      </w:pPr>
      <w:r>
        <w:rPr>
          <w:b/>
        </w:rPr>
        <w:t>/ 2026 - Estagiários - </w:t>
      </w:r>
      <w:r>
        <w:rPr/>
        <w:t>A DIREXE, através do Comunicado nº 8/2026/DIREXE-CDC, informou que a Coordenadoria</w:t>
      </w:r>
      <w:r>
        <w:rPr>
          <w:spacing w:val="-5"/>
        </w:rPr>
        <w:t> </w:t>
      </w:r>
      <w:r>
        <w:rPr/>
        <w:t>Financeira</w:t>
      </w:r>
      <w:r>
        <w:rPr>
          <w:spacing w:val="-5"/>
        </w:rPr>
        <w:t> </w:t>
      </w:r>
      <w:r>
        <w:rPr/>
        <w:t>(CODFIN)</w:t>
      </w:r>
      <w:r>
        <w:rPr>
          <w:spacing w:val="-5"/>
        </w:rPr>
        <w:t> </w:t>
      </w:r>
      <w:r>
        <w:rPr/>
        <w:t>informou</w:t>
      </w:r>
      <w:r>
        <w:rPr>
          <w:spacing w:val="-5"/>
        </w:rPr>
        <w:t> </w:t>
      </w:r>
      <w:r>
        <w:rPr/>
        <w:t>que,</w:t>
      </w:r>
      <w:r>
        <w:rPr>
          <w:spacing w:val="-5"/>
        </w:rPr>
        <w:t> </w:t>
      </w:r>
      <w:r>
        <w:rPr/>
        <w:t>no</w:t>
      </w:r>
      <w:r>
        <w:rPr>
          <w:spacing w:val="-5"/>
        </w:rPr>
        <w:t> </w:t>
      </w:r>
      <w:r>
        <w:rPr/>
        <w:t>mês</w:t>
      </w:r>
      <w:r>
        <w:rPr>
          <w:spacing w:val="-5"/>
        </w:rPr>
        <w:t> </w:t>
      </w:r>
      <w:r>
        <w:rPr/>
        <w:t>de</w:t>
      </w:r>
      <w:r>
        <w:rPr>
          <w:spacing w:val="-5"/>
        </w:rPr>
        <w:t> </w:t>
      </w:r>
      <w:r>
        <w:rPr/>
        <w:t>abril</w:t>
      </w:r>
      <w:r>
        <w:rPr>
          <w:spacing w:val="-5"/>
        </w:rPr>
        <w:t> </w:t>
      </w:r>
      <w:r>
        <w:rPr/>
        <w:t>de</w:t>
      </w:r>
      <w:r>
        <w:rPr>
          <w:spacing w:val="-5"/>
        </w:rPr>
        <w:t> </w:t>
      </w:r>
      <w:r>
        <w:rPr/>
        <w:t>2026,</w:t>
      </w:r>
      <w:r>
        <w:rPr>
          <w:spacing w:val="-4"/>
        </w:rPr>
        <w:t> </w:t>
      </w:r>
      <w:r>
        <w:rPr/>
        <w:t>foram</w:t>
      </w:r>
      <w:r>
        <w:rPr>
          <w:spacing w:val="-4"/>
        </w:rPr>
        <w:t> </w:t>
      </w:r>
      <w:r>
        <w:rPr/>
        <w:t>registradas</w:t>
      </w:r>
      <w:r>
        <w:rPr>
          <w:spacing w:val="-4"/>
        </w:rPr>
        <w:t> </w:t>
      </w:r>
      <w:r>
        <w:rPr/>
        <w:t>duas</w:t>
      </w:r>
      <w:r>
        <w:rPr>
          <w:spacing w:val="-4"/>
        </w:rPr>
        <w:t> </w:t>
      </w:r>
      <w:r>
        <w:rPr/>
        <w:t>Notas Fiscais emitidas pela RENAPSI, referentes à contratação do programa Jovem Aprendiz, conforme discriminado abaixo: Nota Fiscal nº 135552 – referente à competência março/2026, no valor de R$ 10.584,60; Nota Fiscal nº 138671 – referente à competência abril/2026, no valor de R$ 10.591,83. Esclarece-se que a Nota Fiscal nº 135552, inicialmente emitida para a competência de março/2026, foi posteriormente cancelada pela RENAPSI em razão de inconsistência no valor faturado, sendo necessária a emissão de novo documento fiscal com o valor correto. Em decorrência desse procedimento, houve o reconhecimento, no mês de abril/2026, das despesas correspondentes à competência de março, juntamente com a despesa da competência de abril, ocasionando um aumento pontual no montante das despesas registradas no período.</w:t>
      </w:r>
      <w:r>
        <w:rPr>
          <w:spacing w:val="-4"/>
        </w:rPr>
        <w:t> </w:t>
      </w:r>
      <w:r>
        <w:rPr/>
        <w:t>A</w:t>
      </w:r>
      <w:r>
        <w:rPr>
          <w:spacing w:val="-4"/>
        </w:rPr>
        <w:t> </w:t>
      </w:r>
      <w:r>
        <w:rPr/>
        <w:t>CODFIN ressalta que essa variação decorre exclusivamente da regularização do faturamento promovida pela prestadora do serviço, não representando acréscimo efetivo dos custos da Companhia, mas apenas um efeito temporal no reconhecimento contábil da despesa.</w:t>
      </w:r>
    </w:p>
    <w:p>
      <w:pPr>
        <w:pStyle w:val="BodyText"/>
        <w:spacing w:before="96"/>
        <w:ind w:right="239"/>
        <w:jc w:val="both"/>
      </w:pPr>
      <w:r>
        <w:rPr/>
        <w:t>O Conselho retira a pendência, reiterando a recomendação para que sejam adotadas efetivas medidas com vistas a evitar o acúmulo de notas fiscais.</w:t>
      </w:r>
    </w:p>
    <w:p>
      <w:pPr>
        <w:pStyle w:val="BodyText"/>
        <w:spacing w:after="0"/>
        <w:jc w:val="both"/>
        <w:sectPr>
          <w:pgSz w:w="11900" w:h="16840"/>
          <w:pgMar w:header="0" w:footer="181" w:top="500" w:bottom="380" w:left="566" w:right="566"/>
        </w:sectPr>
      </w:pPr>
    </w:p>
    <w:p>
      <w:pPr>
        <w:pStyle w:val="ListParagraph"/>
        <w:numPr>
          <w:ilvl w:val="0"/>
          <w:numId w:val="2"/>
        </w:numPr>
        <w:tabs>
          <w:tab w:pos="587" w:val="left" w:leader="none"/>
        </w:tabs>
        <w:spacing w:line="240" w:lineRule="auto" w:before="60" w:after="0"/>
        <w:ind w:left="242" w:right="241" w:firstLine="0"/>
        <w:jc w:val="both"/>
        <w:rPr>
          <w:sz w:val="24"/>
        </w:rPr>
      </w:pPr>
      <w:r>
        <w:rPr>
          <w:b/>
          <w:sz w:val="24"/>
        </w:rPr>
        <w:t>- Juros e Multas – abril / 2026 - </w:t>
      </w:r>
      <w:r>
        <w:rPr>
          <w:sz w:val="24"/>
        </w:rPr>
        <w:t>A DIREXE, através do Comunicado nº 8/2026/DIREXE-CDC, informou que a Coordenadoria Financeira (CODFIN) informou que os valores registrados na rubrica de multas e encargos no exercício de 2026 referem-se às seguintes ocorrências: Competência fevereiro/2026: R$ 4.505,60 – Multa pecuniária aplicada pela</w:t>
      </w:r>
      <w:r>
        <w:rPr>
          <w:spacing w:val="-7"/>
          <w:sz w:val="24"/>
        </w:rPr>
        <w:t> </w:t>
      </w:r>
      <w:r>
        <w:rPr>
          <w:sz w:val="24"/>
        </w:rPr>
        <w:t>ANTAQ, no âmbito do Processo nº 50300.012535/2025-83, em decorrência da constatação de inadequada manutenção do píer, em desacordo com as exigências da autoridade</w:t>
      </w:r>
      <w:r>
        <w:rPr>
          <w:spacing w:val="-4"/>
          <w:sz w:val="24"/>
        </w:rPr>
        <w:t> </w:t>
      </w:r>
      <w:r>
        <w:rPr>
          <w:sz w:val="24"/>
        </w:rPr>
        <w:t>reguladora.</w:t>
      </w:r>
      <w:r>
        <w:rPr>
          <w:spacing w:val="-4"/>
          <w:sz w:val="24"/>
        </w:rPr>
        <w:t> </w:t>
      </w:r>
      <w:r>
        <w:rPr>
          <w:sz w:val="24"/>
        </w:rPr>
        <w:t>Competência</w:t>
      </w:r>
      <w:r>
        <w:rPr>
          <w:spacing w:val="-4"/>
          <w:sz w:val="24"/>
        </w:rPr>
        <w:t> </w:t>
      </w:r>
      <w:r>
        <w:rPr>
          <w:sz w:val="24"/>
        </w:rPr>
        <w:t>março/2026:</w:t>
      </w:r>
      <w:r>
        <w:rPr>
          <w:spacing w:val="-4"/>
          <w:sz w:val="24"/>
        </w:rPr>
        <w:t> </w:t>
      </w:r>
      <w:r>
        <w:rPr>
          <w:sz w:val="24"/>
        </w:rPr>
        <w:t>R$</w:t>
      </w:r>
      <w:r>
        <w:rPr>
          <w:spacing w:val="-4"/>
          <w:sz w:val="24"/>
        </w:rPr>
        <w:t> </w:t>
      </w:r>
      <w:r>
        <w:rPr>
          <w:sz w:val="24"/>
        </w:rPr>
        <w:t>5.381,63</w:t>
      </w:r>
      <w:r>
        <w:rPr>
          <w:spacing w:val="-4"/>
          <w:sz w:val="24"/>
        </w:rPr>
        <w:t> </w:t>
      </w:r>
      <w:r>
        <w:rPr>
          <w:sz w:val="24"/>
        </w:rPr>
        <w:t>–</w:t>
      </w:r>
      <w:r>
        <w:rPr>
          <w:spacing w:val="-4"/>
          <w:sz w:val="24"/>
        </w:rPr>
        <w:t> </w:t>
      </w:r>
      <w:r>
        <w:rPr>
          <w:sz w:val="24"/>
        </w:rPr>
        <w:t>Multa</w:t>
      </w:r>
      <w:r>
        <w:rPr>
          <w:spacing w:val="-4"/>
          <w:sz w:val="24"/>
        </w:rPr>
        <w:t> </w:t>
      </w:r>
      <w:r>
        <w:rPr>
          <w:sz w:val="24"/>
        </w:rPr>
        <w:t>decorrente</w:t>
      </w:r>
      <w:r>
        <w:rPr>
          <w:spacing w:val="-4"/>
          <w:sz w:val="24"/>
        </w:rPr>
        <w:t> </w:t>
      </w:r>
      <w:r>
        <w:rPr>
          <w:sz w:val="24"/>
        </w:rPr>
        <w:t>do</w:t>
      </w:r>
      <w:r>
        <w:rPr>
          <w:spacing w:val="-4"/>
          <w:sz w:val="24"/>
        </w:rPr>
        <w:t> </w:t>
      </w:r>
      <w:r>
        <w:rPr>
          <w:sz w:val="24"/>
        </w:rPr>
        <w:t>pagamento</w:t>
      </w:r>
      <w:r>
        <w:rPr>
          <w:spacing w:val="-4"/>
          <w:sz w:val="24"/>
        </w:rPr>
        <w:t> </w:t>
      </w:r>
      <w:r>
        <w:rPr>
          <w:sz w:val="24"/>
        </w:rPr>
        <w:t>em</w:t>
      </w:r>
      <w:r>
        <w:rPr>
          <w:spacing w:val="-4"/>
          <w:sz w:val="24"/>
        </w:rPr>
        <w:t> </w:t>
      </w:r>
      <w:r>
        <w:rPr>
          <w:sz w:val="24"/>
        </w:rPr>
        <w:t>atraso de boletos do OGMO, ocasionado pelo recebimento da documentação pela CODFIN após o prazo necessário para processamento e liquidação tempestiva da obrigação. R$ 2.022,90 – Juros incidentes sobre Auto de Infração lavrado pelo Ministério do Trabalho e Emprego (MTE), relacionado ao descumprimento de normas de segurança e saúde no trabalho, especificamente em razão da existência de escada com processo de corrosão no Cais Pesqueiro.</w:t>
      </w:r>
      <w:r>
        <w:rPr>
          <w:spacing w:val="-6"/>
          <w:sz w:val="24"/>
        </w:rPr>
        <w:t> </w:t>
      </w:r>
      <w:r>
        <w:rPr>
          <w:sz w:val="24"/>
        </w:rPr>
        <w:t>A</w:t>
      </w:r>
      <w:r>
        <w:rPr>
          <w:spacing w:val="-6"/>
          <w:sz w:val="24"/>
        </w:rPr>
        <w:t> </w:t>
      </w:r>
      <w:r>
        <w:rPr>
          <w:sz w:val="24"/>
        </w:rPr>
        <w:t>CODFIN esclarece que os registros contábeis foram realizados em conformidade com a documentação comprobatória e refletem despesas extraordinárias decorrentes de penalidades e encargos aplicados por órgãos reguladores e fiscalizadores, bem como de obrigações liquidadas em atraso. Por fim, ressalta-se a importância da adoção de medidas preventivas pelas áreas responsáveis, visando ao cumprimento tempestivo das obrigações administrativas e à manutenção adequada das instalações da Companhia, de forma a mitigar a ocorrência de multas, juros e demais encargos que impactam negativamente o resultado econômico-financeiro da Companhia.</w:t>
      </w:r>
    </w:p>
    <w:p>
      <w:pPr>
        <w:pStyle w:val="BodyText"/>
        <w:spacing w:before="90"/>
        <w:jc w:val="both"/>
      </w:pPr>
      <w:r>
        <w:rPr/>
        <w:t>O</w:t>
      </w:r>
      <w:r>
        <w:rPr>
          <w:spacing w:val="-8"/>
        </w:rPr>
        <w:t> </w:t>
      </w:r>
      <w:r>
        <w:rPr/>
        <w:t>Conselho</w:t>
      </w:r>
      <w:r>
        <w:rPr>
          <w:spacing w:val="-7"/>
        </w:rPr>
        <w:t> </w:t>
      </w:r>
      <w:r>
        <w:rPr/>
        <w:t>retira</w:t>
      </w:r>
      <w:r>
        <w:rPr>
          <w:spacing w:val="-8"/>
        </w:rPr>
        <w:t> </w:t>
      </w:r>
      <w:r>
        <w:rPr/>
        <w:t>a</w:t>
      </w:r>
      <w:r>
        <w:rPr>
          <w:spacing w:val="-7"/>
        </w:rPr>
        <w:t> </w:t>
      </w:r>
      <w:r>
        <w:rPr>
          <w:spacing w:val="-2"/>
        </w:rPr>
        <w:t>pendência.</w:t>
      </w:r>
    </w:p>
    <w:p>
      <w:pPr>
        <w:pStyle w:val="BodyText"/>
        <w:spacing w:before="235"/>
        <w:ind w:left="0"/>
      </w:pPr>
    </w:p>
    <w:p>
      <w:pPr>
        <w:pStyle w:val="ListParagraph"/>
        <w:numPr>
          <w:ilvl w:val="0"/>
          <w:numId w:val="2"/>
        </w:numPr>
        <w:tabs>
          <w:tab w:pos="570" w:val="left" w:leader="none"/>
        </w:tabs>
        <w:spacing w:line="240" w:lineRule="auto" w:before="0" w:after="0"/>
        <w:ind w:left="242" w:right="240" w:firstLine="0"/>
        <w:jc w:val="both"/>
        <w:rPr>
          <w:sz w:val="24"/>
        </w:rPr>
      </w:pPr>
      <w:r>
        <w:rPr>
          <w:b/>
          <w:sz w:val="24"/>
        </w:rPr>
        <w:t>- Atas da 2545ª a 2547ª Reuniões Ordinárias da DIREXE, realizadas em maio e junho /2026 – Horas extras -</w:t>
      </w:r>
      <w:r>
        <w:rPr>
          <w:b/>
          <w:spacing w:val="-4"/>
          <w:sz w:val="24"/>
        </w:rPr>
        <w:t> </w:t>
      </w:r>
      <w:r>
        <w:rPr>
          <w:sz w:val="24"/>
        </w:rPr>
        <w:t>A DIREXE, através do Comunicado nº 8/2026/DIREXE-CDC, informou que em atendimento à solicitação do CONFIS, segue anexa a planilha (11580704) contendo o levantamento do montante dos valores pagos a título de horas extras aos empregados ocupantes de Função de confiança, anteriormente chamado de gratificação técnica (GT). Para fins de apuração do montante, foi considerado o período dos últimos cinco anos anteriores à suspensão dos pagamentos, ocorrida em outubro de 2023, abrangendo o intervalo de outubro de 2019 a setembro de 2023. Quanto ao questionamento acerca da existência de parecer jurídico que tenha fundamentado a dispensa da cobrança dos valores pagos, informa-se que não houve consulta formal, por parte dessa coordenadoria, porém a solicitação da dispensa dos valores pagos considerou, dentre outros aspectos, a boa-fé dos empregados beneficiários, o caráter alimentar das verbas percebidas e o fato de que os pagamentos decorreram de prática administrativa consolidada e autorizada pela gestão vigente à época dos fatos.</w:t>
      </w:r>
    </w:p>
    <w:p>
      <w:pPr>
        <w:pStyle w:val="BodyText"/>
        <w:spacing w:before="98"/>
        <w:ind w:right="246"/>
        <w:jc w:val="both"/>
      </w:pPr>
      <w:r>
        <w:rPr/>
        <w:t>Considerando o relevante valor envolvido e a peculiaridade da questão, o Conselho alerta para a necessidade de a matéria ser avaliada pelo jurídico da Companhia.</w:t>
      </w:r>
    </w:p>
    <w:p>
      <w:pPr>
        <w:pStyle w:val="BodyText"/>
        <w:spacing w:before="233"/>
        <w:ind w:left="0"/>
      </w:pPr>
    </w:p>
    <w:p>
      <w:pPr>
        <w:pStyle w:val="ListParagraph"/>
        <w:numPr>
          <w:ilvl w:val="0"/>
          <w:numId w:val="2"/>
        </w:numPr>
        <w:tabs>
          <w:tab w:pos="558" w:val="left" w:leader="none"/>
        </w:tabs>
        <w:spacing w:line="240" w:lineRule="auto" w:before="1" w:after="0"/>
        <w:ind w:left="242" w:right="253" w:firstLine="0"/>
        <w:jc w:val="both"/>
        <w:rPr>
          <w:sz w:val="24"/>
        </w:rPr>
      </w:pPr>
      <w:r>
        <w:rPr>
          <w:b/>
          <w:sz w:val="24"/>
        </w:rPr>
        <w:t>- Autorizações DIRPRE realizadas em abril e maio / 2025 – Energia elétrica TMP -</w:t>
      </w:r>
      <w:r>
        <w:rPr>
          <w:b/>
          <w:spacing w:val="37"/>
          <w:sz w:val="24"/>
        </w:rPr>
        <w:t> </w:t>
      </w:r>
      <w:r>
        <w:rPr>
          <w:sz w:val="24"/>
        </w:rPr>
        <w:t>A DIREXE, através do Comunicado nº 8/2026/DIREXE-CDC, informou que conforme Comunicado 141 (11353258) e Fatura 373866 TORRES ILUMINAÇÃO CMAT MAI/2024</w:t>
      </w:r>
      <w:r>
        <w:rPr>
          <w:spacing w:val="-5"/>
          <w:sz w:val="24"/>
        </w:rPr>
        <w:t> </w:t>
      </w:r>
      <w:r>
        <w:rPr>
          <w:sz w:val="24"/>
        </w:rPr>
        <w:t>A</w:t>
      </w:r>
      <w:r>
        <w:rPr>
          <w:spacing w:val="-5"/>
          <w:sz w:val="24"/>
        </w:rPr>
        <w:t> </w:t>
      </w:r>
      <w:r>
        <w:rPr>
          <w:sz w:val="24"/>
        </w:rPr>
        <w:t>NOV/2025 (11354398), o faturamento das</w:t>
      </w:r>
    </w:p>
    <w:p>
      <w:pPr>
        <w:pStyle w:val="BodyText"/>
        <w:spacing w:line="237" w:lineRule="auto"/>
        <w:ind w:right="256"/>
        <w:jc w:val="both"/>
      </w:pPr>
      <w:r>
        <w:rPr/>
        <w:t>Torres de iluminação 31,32 e 33 foram faturadas em 03/06/2026 e enviada a CMA. Informou que o pagamento ainda não foi realizado pela Empresa Termap.</w:t>
      </w:r>
    </w:p>
    <w:p>
      <w:pPr>
        <w:pStyle w:val="BodyText"/>
        <w:spacing w:before="116"/>
        <w:ind w:right="243"/>
        <w:jc w:val="both"/>
      </w:pPr>
      <w:r>
        <w:rPr/>
        <w:t>O Conselho reitera a pendência, ressaltando que a matéria está se prolongando por muito tempo, e solicita que, na próxima reunião, seja apresentado relatório contendo as providências adotadas e o andamento das ações pela área responsável.</w:t>
      </w:r>
    </w:p>
    <w:p>
      <w:pPr>
        <w:pStyle w:val="BodyText"/>
        <w:spacing w:before="231"/>
        <w:ind w:left="0"/>
      </w:pPr>
    </w:p>
    <w:p>
      <w:pPr>
        <w:pStyle w:val="ListParagraph"/>
        <w:numPr>
          <w:ilvl w:val="0"/>
          <w:numId w:val="2"/>
        </w:numPr>
        <w:tabs>
          <w:tab w:pos="563" w:val="left" w:leader="none"/>
        </w:tabs>
        <w:spacing w:line="240" w:lineRule="auto" w:before="0" w:after="0"/>
        <w:ind w:left="242" w:right="242" w:firstLine="0"/>
        <w:jc w:val="both"/>
        <w:rPr>
          <w:sz w:val="24"/>
        </w:rPr>
      </w:pPr>
      <w:r>
        <w:rPr>
          <w:b/>
          <w:sz w:val="24"/>
        </w:rPr>
        <w:t>- Atas da 2540ª a 2542ª Reuniões Ordinárias e 95ª e 96ª Reuniões Extraordinárias da DIREXE, realizadas em março e abril/2026 - Defensas marítimas - </w:t>
      </w:r>
      <w:r>
        <w:rPr>
          <w:sz w:val="24"/>
        </w:rPr>
        <w:t>A DIREXE, através do Comunicado nº 8/2026/DIREXE-CDC, informou que o assunto está sendo tratado entre a Diretoria Executiva e a Coordenadoria Jurídica, e que tão logo seja tomada uma decisão definitiva sobre o assunto, informaremos ao Conselho Fiscal.</w:t>
      </w:r>
    </w:p>
    <w:p>
      <w:pPr>
        <w:pStyle w:val="BodyText"/>
        <w:spacing w:before="111"/>
        <w:jc w:val="both"/>
      </w:pPr>
      <w:r>
        <w:rPr/>
        <w:t>O</w:t>
      </w:r>
      <w:r>
        <w:rPr>
          <w:spacing w:val="-10"/>
        </w:rPr>
        <w:t> </w:t>
      </w:r>
      <w:r>
        <w:rPr/>
        <w:t>Conselho</w:t>
      </w:r>
      <w:r>
        <w:rPr>
          <w:spacing w:val="-10"/>
        </w:rPr>
        <w:t> </w:t>
      </w:r>
      <w:r>
        <w:rPr/>
        <w:t>acompanhará</w:t>
      </w:r>
      <w:r>
        <w:rPr>
          <w:spacing w:val="-10"/>
        </w:rPr>
        <w:t> </w:t>
      </w:r>
      <w:r>
        <w:rPr/>
        <w:t>o</w:t>
      </w:r>
      <w:r>
        <w:rPr>
          <w:spacing w:val="-9"/>
        </w:rPr>
        <w:t> </w:t>
      </w:r>
      <w:r>
        <w:rPr>
          <w:spacing w:val="-2"/>
        </w:rPr>
        <w:t>assunto.</w:t>
      </w:r>
    </w:p>
    <w:p>
      <w:pPr>
        <w:pStyle w:val="BodyText"/>
        <w:spacing w:before="235"/>
        <w:ind w:left="0"/>
      </w:pPr>
    </w:p>
    <w:p>
      <w:pPr>
        <w:pStyle w:val="Heading2"/>
        <w:numPr>
          <w:ilvl w:val="0"/>
          <w:numId w:val="2"/>
        </w:numPr>
        <w:tabs>
          <w:tab w:pos="588" w:val="left" w:leader="none"/>
        </w:tabs>
        <w:spacing w:line="240" w:lineRule="auto" w:before="0" w:after="0"/>
        <w:ind w:left="242" w:right="256" w:firstLine="0"/>
        <w:jc w:val="both"/>
        <w:rPr>
          <w:b w:val="0"/>
        </w:rPr>
      </w:pPr>
      <w:r>
        <w:rPr/>
        <w:t>- Análise do Balancete e acompanhamento mensal dos resultados econômicos – financeiros – fevereiro</w:t>
      </w:r>
      <w:r>
        <w:rPr>
          <w:spacing w:val="58"/>
        </w:rPr>
        <w:t> </w:t>
      </w:r>
      <w:r>
        <w:rPr/>
        <w:t>/</w:t>
      </w:r>
      <w:r>
        <w:rPr>
          <w:spacing w:val="58"/>
        </w:rPr>
        <w:t> </w:t>
      </w:r>
      <w:r>
        <w:rPr/>
        <w:t>2026</w:t>
      </w:r>
      <w:r>
        <w:rPr>
          <w:spacing w:val="58"/>
        </w:rPr>
        <w:t> </w:t>
      </w:r>
      <w:r>
        <w:rPr/>
        <w:t>-</w:t>
      </w:r>
      <w:r>
        <w:rPr>
          <w:spacing w:val="58"/>
        </w:rPr>
        <w:t> </w:t>
      </w:r>
      <w:r>
        <w:rPr/>
        <w:t>Multas</w:t>
      </w:r>
      <w:r>
        <w:rPr>
          <w:spacing w:val="58"/>
        </w:rPr>
        <w:t> </w:t>
      </w:r>
      <w:r>
        <w:rPr/>
        <w:t>e</w:t>
      </w:r>
      <w:r>
        <w:rPr>
          <w:spacing w:val="58"/>
        </w:rPr>
        <w:t> </w:t>
      </w:r>
      <w:r>
        <w:rPr/>
        <w:t>autos</w:t>
      </w:r>
      <w:r>
        <w:rPr>
          <w:spacing w:val="58"/>
        </w:rPr>
        <w:t> </w:t>
      </w:r>
      <w:r>
        <w:rPr/>
        <w:t>de</w:t>
      </w:r>
      <w:r>
        <w:rPr>
          <w:spacing w:val="58"/>
        </w:rPr>
        <w:t> </w:t>
      </w:r>
      <w:r>
        <w:rPr/>
        <w:t>infração</w:t>
      </w:r>
      <w:r>
        <w:rPr>
          <w:spacing w:val="40"/>
        </w:rPr>
        <w:t> </w:t>
      </w:r>
      <w:r>
        <w:rPr/>
        <w:t>ANTAQ</w:t>
      </w:r>
      <w:r>
        <w:rPr>
          <w:spacing w:val="58"/>
        </w:rPr>
        <w:t> </w:t>
      </w:r>
      <w:r>
        <w:rPr/>
        <w:t>-</w:t>
      </w:r>
      <w:r>
        <w:rPr>
          <w:spacing w:val="17"/>
        </w:rPr>
        <w:t> </w:t>
      </w:r>
      <w:r>
        <w:rPr>
          <w:b w:val="0"/>
        </w:rPr>
        <w:t>A</w:t>
      </w:r>
      <w:r>
        <w:rPr>
          <w:b w:val="0"/>
          <w:spacing w:val="40"/>
        </w:rPr>
        <w:t> </w:t>
      </w:r>
      <w:r>
        <w:rPr>
          <w:b w:val="0"/>
        </w:rPr>
        <w:t>DIREXE,</w:t>
      </w:r>
      <w:r>
        <w:rPr>
          <w:b w:val="0"/>
          <w:spacing w:val="54"/>
        </w:rPr>
        <w:t> </w:t>
      </w:r>
      <w:r>
        <w:rPr>
          <w:b w:val="0"/>
        </w:rPr>
        <w:t>através</w:t>
      </w:r>
      <w:r>
        <w:rPr>
          <w:b w:val="0"/>
          <w:spacing w:val="54"/>
        </w:rPr>
        <w:t> </w:t>
      </w:r>
      <w:r>
        <w:rPr>
          <w:b w:val="0"/>
        </w:rPr>
        <w:t>do</w:t>
      </w:r>
      <w:r>
        <w:rPr>
          <w:b w:val="0"/>
          <w:spacing w:val="54"/>
        </w:rPr>
        <w:t> </w:t>
      </w:r>
      <w:r>
        <w:rPr>
          <w:b w:val="0"/>
        </w:rPr>
        <w:t>Comunicado</w:t>
      </w:r>
      <w:r>
        <w:rPr>
          <w:b w:val="0"/>
          <w:spacing w:val="54"/>
        </w:rPr>
        <w:t> </w:t>
      </w:r>
      <w:r>
        <w:rPr>
          <w:b w:val="0"/>
        </w:rPr>
        <w:t>nº</w:t>
      </w:r>
    </w:p>
    <w:p>
      <w:pPr>
        <w:pStyle w:val="Heading2"/>
        <w:spacing w:after="0" w:line="240" w:lineRule="auto"/>
        <w:jc w:val="both"/>
        <w:rPr>
          <w:b w:val="0"/>
        </w:rPr>
        <w:sectPr>
          <w:pgSz w:w="11900" w:h="16840"/>
          <w:pgMar w:header="0" w:footer="181" w:top="500" w:bottom="380" w:left="566" w:right="566"/>
        </w:sectPr>
      </w:pPr>
    </w:p>
    <w:p>
      <w:pPr>
        <w:pStyle w:val="BodyText"/>
        <w:spacing w:before="60"/>
        <w:ind w:right="244"/>
        <w:jc w:val="both"/>
      </w:pPr>
      <w:r>
        <w:rPr/>
        <w:t>8/2026/DIREXE-CDC, informou que em atenção à recomendação exarada pelo Conselho Fiscal no item 4.3, referente à necessidade de máxima atenção aos prazos, notificações e cumprimento das obrigações junto</w:t>
      </w:r>
      <w:r>
        <w:rPr>
          <w:spacing w:val="-1"/>
        </w:rPr>
        <w:t> </w:t>
      </w:r>
      <w:r>
        <w:rPr/>
        <w:t>à</w:t>
      </w:r>
      <w:r>
        <w:rPr>
          <w:spacing w:val="-11"/>
        </w:rPr>
        <w:t> </w:t>
      </w:r>
      <w:r>
        <w:rPr/>
        <w:t>ANTAQ,</w:t>
      </w:r>
      <w:r>
        <w:rPr>
          <w:spacing w:val="-1"/>
        </w:rPr>
        <w:t> </w:t>
      </w:r>
      <w:r>
        <w:rPr/>
        <w:t>bem</w:t>
      </w:r>
      <w:r>
        <w:rPr>
          <w:spacing w:val="-1"/>
        </w:rPr>
        <w:t> </w:t>
      </w:r>
      <w:r>
        <w:rPr/>
        <w:t>como</w:t>
      </w:r>
      <w:r>
        <w:rPr>
          <w:spacing w:val="-1"/>
        </w:rPr>
        <w:t> </w:t>
      </w:r>
      <w:r>
        <w:rPr/>
        <w:t>ao</w:t>
      </w:r>
      <w:r>
        <w:rPr>
          <w:spacing w:val="-1"/>
        </w:rPr>
        <w:t> </w:t>
      </w:r>
      <w:r>
        <w:rPr/>
        <w:t>alerta</w:t>
      </w:r>
      <w:r>
        <w:rPr>
          <w:spacing w:val="-1"/>
        </w:rPr>
        <w:t> </w:t>
      </w:r>
      <w:r>
        <w:rPr/>
        <w:t>sobre</w:t>
      </w:r>
      <w:r>
        <w:rPr>
          <w:spacing w:val="-1"/>
        </w:rPr>
        <w:t> </w:t>
      </w:r>
      <w:r>
        <w:rPr/>
        <w:t>a</w:t>
      </w:r>
      <w:r>
        <w:rPr>
          <w:spacing w:val="-1"/>
        </w:rPr>
        <w:t> </w:t>
      </w:r>
      <w:r>
        <w:rPr/>
        <w:t>responsabilização</w:t>
      </w:r>
      <w:r>
        <w:rPr>
          <w:spacing w:val="-1"/>
        </w:rPr>
        <w:t> </w:t>
      </w:r>
      <w:r>
        <w:rPr/>
        <w:t>pessoal</w:t>
      </w:r>
      <w:r>
        <w:rPr>
          <w:spacing w:val="-1"/>
        </w:rPr>
        <w:t> </w:t>
      </w:r>
      <w:r>
        <w:rPr/>
        <w:t>dos</w:t>
      </w:r>
      <w:r>
        <w:rPr>
          <w:spacing w:val="-1"/>
        </w:rPr>
        <w:t> </w:t>
      </w:r>
      <w:r>
        <w:rPr/>
        <w:t>gestores,</w:t>
      </w:r>
      <w:r>
        <w:rPr>
          <w:spacing w:val="-1"/>
        </w:rPr>
        <w:t> </w:t>
      </w:r>
      <w:r>
        <w:rPr/>
        <w:t>a CODINF</w:t>
      </w:r>
      <w:r>
        <w:rPr>
          <w:spacing w:val="-1"/>
        </w:rPr>
        <w:t> </w:t>
      </w:r>
      <w:r>
        <w:rPr/>
        <w:t>manifesta total</w:t>
      </w:r>
      <w:r>
        <w:rPr>
          <w:spacing w:val="-4"/>
        </w:rPr>
        <w:t> </w:t>
      </w:r>
      <w:r>
        <w:rPr/>
        <w:t>ciência</w:t>
      </w:r>
      <w:r>
        <w:rPr>
          <w:spacing w:val="-3"/>
        </w:rPr>
        <w:t> </w:t>
      </w:r>
      <w:r>
        <w:rPr/>
        <w:t>com</w:t>
      </w:r>
      <w:r>
        <w:rPr>
          <w:spacing w:val="-4"/>
        </w:rPr>
        <w:t> </w:t>
      </w:r>
      <w:r>
        <w:rPr/>
        <w:t>os</w:t>
      </w:r>
      <w:r>
        <w:rPr>
          <w:spacing w:val="-3"/>
        </w:rPr>
        <w:t> </w:t>
      </w:r>
      <w:r>
        <w:rPr/>
        <w:t>apontamentos</w:t>
      </w:r>
      <w:r>
        <w:rPr>
          <w:spacing w:val="-3"/>
        </w:rPr>
        <w:t> </w:t>
      </w:r>
      <w:r>
        <w:rPr/>
        <w:t>apresentados.</w:t>
      </w:r>
      <w:r>
        <w:rPr>
          <w:spacing w:val="-3"/>
        </w:rPr>
        <w:t> </w:t>
      </w:r>
      <w:r>
        <w:rPr/>
        <w:t>Quantos</w:t>
      </w:r>
      <w:r>
        <w:rPr>
          <w:spacing w:val="-3"/>
        </w:rPr>
        <w:t> </w:t>
      </w:r>
      <w:r>
        <w:rPr/>
        <w:t>aos</w:t>
      </w:r>
      <w:r>
        <w:rPr>
          <w:spacing w:val="-3"/>
        </w:rPr>
        <w:t> </w:t>
      </w:r>
      <w:r>
        <w:rPr/>
        <w:t>relatórios</w:t>
      </w:r>
      <w:r>
        <w:rPr>
          <w:spacing w:val="-3"/>
        </w:rPr>
        <w:t> </w:t>
      </w:r>
      <w:r>
        <w:rPr/>
        <w:t>técnicos</w:t>
      </w:r>
      <w:r>
        <w:rPr>
          <w:spacing w:val="-3"/>
        </w:rPr>
        <w:t> </w:t>
      </w:r>
      <w:r>
        <w:rPr/>
        <w:t>de</w:t>
      </w:r>
      <w:r>
        <w:rPr>
          <w:spacing w:val="-3"/>
        </w:rPr>
        <w:t> </w:t>
      </w:r>
      <w:r>
        <w:rPr/>
        <w:t>monitoramento</w:t>
      </w:r>
      <w:r>
        <w:rPr>
          <w:spacing w:val="-3"/>
        </w:rPr>
        <w:t> </w:t>
      </w:r>
      <w:r>
        <w:rPr/>
        <w:t>do</w:t>
      </w:r>
      <w:r>
        <w:rPr>
          <w:spacing w:val="-3"/>
        </w:rPr>
        <w:t> </w:t>
      </w:r>
      <w:r>
        <w:rPr/>
        <w:t>Píer Petroleiro sob responsabilidade da CODINF, esclarecemos que estes vêm sendo rigorosamente elaborados e enviados para DIRPRE, para posteriormente protocolados junto à ANTAQ a cada 10 (dez) dias, conforme acordado na Deliberação nº 97/2026.</w:t>
      </w:r>
    </w:p>
    <w:p>
      <w:pPr>
        <w:pStyle w:val="BodyText"/>
        <w:spacing w:before="107"/>
        <w:jc w:val="both"/>
      </w:pPr>
      <w:r>
        <w:rPr/>
        <w:t>O</w:t>
      </w:r>
      <w:r>
        <w:rPr>
          <w:spacing w:val="-8"/>
        </w:rPr>
        <w:t> </w:t>
      </w:r>
      <w:r>
        <w:rPr/>
        <w:t>Conselho</w:t>
      </w:r>
      <w:r>
        <w:rPr>
          <w:spacing w:val="-7"/>
        </w:rPr>
        <w:t> </w:t>
      </w:r>
      <w:r>
        <w:rPr/>
        <w:t>retira</w:t>
      </w:r>
      <w:r>
        <w:rPr>
          <w:spacing w:val="-8"/>
        </w:rPr>
        <w:t> </w:t>
      </w:r>
      <w:r>
        <w:rPr/>
        <w:t>a</w:t>
      </w:r>
      <w:r>
        <w:rPr>
          <w:spacing w:val="-7"/>
        </w:rPr>
        <w:t> </w:t>
      </w:r>
      <w:r>
        <w:rPr>
          <w:spacing w:val="-2"/>
        </w:rPr>
        <w:t>pendência.</w:t>
      </w:r>
    </w:p>
    <w:p>
      <w:pPr>
        <w:pStyle w:val="BodyText"/>
        <w:spacing w:before="235"/>
        <w:ind w:left="0"/>
      </w:pPr>
    </w:p>
    <w:p>
      <w:pPr>
        <w:pStyle w:val="ListParagraph"/>
        <w:numPr>
          <w:ilvl w:val="0"/>
          <w:numId w:val="2"/>
        </w:numPr>
        <w:tabs>
          <w:tab w:pos="588" w:val="left" w:leader="none"/>
        </w:tabs>
        <w:spacing w:line="240" w:lineRule="auto" w:before="0" w:after="0"/>
        <w:ind w:left="242" w:right="241" w:firstLine="0"/>
        <w:jc w:val="both"/>
        <w:rPr>
          <w:sz w:val="24"/>
        </w:rPr>
      </w:pPr>
      <w:r>
        <w:rPr>
          <w:b/>
          <w:sz w:val="24"/>
        </w:rPr>
        <w:t>- Análise do Balancete e acompanhamento mensal dos resultados econômicos – financeiros – fevereiro / 2026 - Juros e multas por atraso de pagamentos -</w:t>
      </w:r>
      <w:r>
        <w:rPr>
          <w:b/>
          <w:spacing w:val="-7"/>
          <w:sz w:val="24"/>
        </w:rPr>
        <w:t> </w:t>
      </w:r>
      <w:r>
        <w:rPr>
          <w:sz w:val="24"/>
        </w:rPr>
        <w:t>A DIREXE, através do Comunicado nº 8/2026/DIREXE-CDC, informou que conforme detalhado no Item 4 desta pauta, a multa principal originou-se</w:t>
      </w:r>
      <w:r>
        <w:rPr>
          <w:spacing w:val="-5"/>
          <w:sz w:val="24"/>
        </w:rPr>
        <w:t> </w:t>
      </w:r>
      <w:r>
        <w:rPr>
          <w:sz w:val="24"/>
        </w:rPr>
        <w:t>de</w:t>
      </w:r>
      <w:r>
        <w:rPr>
          <w:spacing w:val="-5"/>
          <w:sz w:val="24"/>
        </w:rPr>
        <w:t> </w:t>
      </w:r>
      <w:r>
        <w:rPr>
          <w:sz w:val="24"/>
        </w:rPr>
        <w:t>inconformidades</w:t>
      </w:r>
      <w:r>
        <w:rPr>
          <w:spacing w:val="-5"/>
          <w:sz w:val="24"/>
        </w:rPr>
        <w:t> </w:t>
      </w:r>
      <w:r>
        <w:rPr>
          <w:sz w:val="24"/>
        </w:rPr>
        <w:t>físicas</w:t>
      </w:r>
      <w:r>
        <w:rPr>
          <w:spacing w:val="-5"/>
          <w:sz w:val="24"/>
        </w:rPr>
        <w:t> </w:t>
      </w:r>
      <w:r>
        <w:rPr>
          <w:sz w:val="24"/>
        </w:rPr>
        <w:t>no</w:t>
      </w:r>
      <w:r>
        <w:rPr>
          <w:spacing w:val="-5"/>
          <w:sz w:val="24"/>
        </w:rPr>
        <w:t> </w:t>
      </w:r>
      <w:r>
        <w:rPr>
          <w:sz w:val="24"/>
        </w:rPr>
        <w:t>Píer</w:t>
      </w:r>
      <w:r>
        <w:rPr>
          <w:spacing w:val="-5"/>
          <w:sz w:val="24"/>
        </w:rPr>
        <w:t> </w:t>
      </w:r>
      <w:r>
        <w:rPr>
          <w:sz w:val="24"/>
        </w:rPr>
        <w:t>Petroleiro.</w:t>
      </w:r>
      <w:r>
        <w:rPr>
          <w:spacing w:val="-5"/>
          <w:sz w:val="24"/>
        </w:rPr>
        <w:t> </w:t>
      </w:r>
      <w:r>
        <w:rPr>
          <w:sz w:val="24"/>
        </w:rPr>
        <w:t>O</w:t>
      </w:r>
      <w:r>
        <w:rPr>
          <w:spacing w:val="-5"/>
          <w:sz w:val="24"/>
        </w:rPr>
        <w:t> </w:t>
      </w:r>
      <w:r>
        <w:rPr>
          <w:sz w:val="24"/>
        </w:rPr>
        <w:t>valor</w:t>
      </w:r>
      <w:r>
        <w:rPr>
          <w:spacing w:val="-5"/>
          <w:sz w:val="24"/>
        </w:rPr>
        <w:t> </w:t>
      </w:r>
      <w:r>
        <w:rPr>
          <w:sz w:val="24"/>
        </w:rPr>
        <w:t>de</w:t>
      </w:r>
      <w:r>
        <w:rPr>
          <w:spacing w:val="-5"/>
          <w:sz w:val="24"/>
        </w:rPr>
        <w:t> </w:t>
      </w:r>
      <w:r>
        <w:rPr>
          <w:sz w:val="24"/>
        </w:rPr>
        <w:t>R$</w:t>
      </w:r>
      <w:r>
        <w:rPr>
          <w:spacing w:val="-5"/>
          <w:sz w:val="24"/>
        </w:rPr>
        <w:t> </w:t>
      </w:r>
      <w:r>
        <w:rPr>
          <w:sz w:val="24"/>
        </w:rPr>
        <w:t>4.506,00</w:t>
      </w:r>
      <w:r>
        <w:rPr>
          <w:spacing w:val="-5"/>
          <w:sz w:val="24"/>
        </w:rPr>
        <w:t> </w:t>
      </w:r>
      <w:r>
        <w:rPr>
          <w:sz w:val="24"/>
        </w:rPr>
        <w:t>refere-se</w:t>
      </w:r>
      <w:r>
        <w:rPr>
          <w:spacing w:val="-5"/>
          <w:sz w:val="24"/>
        </w:rPr>
        <w:t> </w:t>
      </w:r>
      <w:r>
        <w:rPr>
          <w:sz w:val="24"/>
        </w:rPr>
        <w:t>exclusivamente aos encargos moratórios gerados pelo pagamento intempestivo da guia de recolhimento original. Cumpre esclarecer que a guia de recolhimento da referida multa regulatória não foi disponibilizada diretamente a esta Coordenadoria em tempo hábil para processamento financeiro antes de seu vencimento. O conhecimento da existência da referida GRU e de seu vencimento pretérito ocorreu apenas de maneira reativa, após notificação por correio eletrônico emitida pela ANTAQ e recebida em nível diretivo, sendo posteriormente repassada a este setor técnico. Uma vez que esta Coordenadoria não detinha a posse do documento</w:t>
      </w:r>
      <w:r>
        <w:rPr>
          <w:spacing w:val="-7"/>
          <w:sz w:val="24"/>
        </w:rPr>
        <w:t> </w:t>
      </w:r>
      <w:r>
        <w:rPr>
          <w:sz w:val="24"/>
        </w:rPr>
        <w:t>de</w:t>
      </w:r>
      <w:r>
        <w:rPr>
          <w:spacing w:val="-7"/>
          <w:sz w:val="24"/>
        </w:rPr>
        <w:t> </w:t>
      </w:r>
      <w:r>
        <w:rPr>
          <w:sz w:val="24"/>
        </w:rPr>
        <w:t>cobrança,</w:t>
      </w:r>
      <w:r>
        <w:rPr>
          <w:spacing w:val="-7"/>
          <w:sz w:val="24"/>
        </w:rPr>
        <w:t> </w:t>
      </w:r>
      <w:r>
        <w:rPr>
          <w:sz w:val="24"/>
        </w:rPr>
        <w:t>tampouco</w:t>
      </w:r>
      <w:r>
        <w:rPr>
          <w:spacing w:val="-7"/>
          <w:sz w:val="24"/>
        </w:rPr>
        <w:t> </w:t>
      </w:r>
      <w:r>
        <w:rPr>
          <w:sz w:val="24"/>
        </w:rPr>
        <w:t>havia</w:t>
      </w:r>
      <w:r>
        <w:rPr>
          <w:spacing w:val="-7"/>
          <w:sz w:val="24"/>
        </w:rPr>
        <w:t> </w:t>
      </w:r>
      <w:r>
        <w:rPr>
          <w:sz w:val="24"/>
        </w:rPr>
        <w:t>sido</w:t>
      </w:r>
      <w:r>
        <w:rPr>
          <w:spacing w:val="-7"/>
          <w:sz w:val="24"/>
        </w:rPr>
        <w:t> </w:t>
      </w:r>
      <w:r>
        <w:rPr>
          <w:sz w:val="24"/>
        </w:rPr>
        <w:t>notificada</w:t>
      </w:r>
      <w:r>
        <w:rPr>
          <w:spacing w:val="-7"/>
          <w:sz w:val="24"/>
        </w:rPr>
        <w:t> </w:t>
      </w:r>
      <w:r>
        <w:rPr>
          <w:sz w:val="24"/>
        </w:rPr>
        <w:t>de</w:t>
      </w:r>
      <w:r>
        <w:rPr>
          <w:spacing w:val="-7"/>
          <w:sz w:val="24"/>
        </w:rPr>
        <w:t> </w:t>
      </w:r>
      <w:r>
        <w:rPr>
          <w:sz w:val="24"/>
        </w:rPr>
        <w:t>sua</w:t>
      </w:r>
      <w:r>
        <w:rPr>
          <w:spacing w:val="-7"/>
          <w:sz w:val="24"/>
        </w:rPr>
        <w:t> </w:t>
      </w:r>
      <w:r>
        <w:rPr>
          <w:sz w:val="24"/>
        </w:rPr>
        <w:t>emissão</w:t>
      </w:r>
      <w:r>
        <w:rPr>
          <w:spacing w:val="-7"/>
          <w:sz w:val="24"/>
        </w:rPr>
        <w:t> </w:t>
      </w:r>
      <w:r>
        <w:rPr>
          <w:sz w:val="24"/>
        </w:rPr>
        <w:t>pela</w:t>
      </w:r>
      <w:r>
        <w:rPr>
          <w:spacing w:val="-7"/>
          <w:sz w:val="24"/>
        </w:rPr>
        <w:t> </w:t>
      </w:r>
      <w:r>
        <w:rPr>
          <w:sz w:val="24"/>
        </w:rPr>
        <w:t>diretoria</w:t>
      </w:r>
      <w:r>
        <w:rPr>
          <w:spacing w:val="-7"/>
          <w:sz w:val="24"/>
        </w:rPr>
        <w:t> </w:t>
      </w:r>
      <w:r>
        <w:rPr>
          <w:sz w:val="24"/>
        </w:rPr>
        <w:t>detentora</w:t>
      </w:r>
      <w:r>
        <w:rPr>
          <w:spacing w:val="-7"/>
          <w:sz w:val="24"/>
        </w:rPr>
        <w:t> </w:t>
      </w:r>
      <w:r>
        <w:rPr>
          <w:sz w:val="24"/>
        </w:rPr>
        <w:t>do</w:t>
      </w:r>
      <w:r>
        <w:rPr>
          <w:spacing w:val="-7"/>
          <w:sz w:val="24"/>
        </w:rPr>
        <w:t> </w:t>
      </w:r>
      <w:r>
        <w:rPr>
          <w:sz w:val="24"/>
        </w:rPr>
        <w:t>canal</w:t>
      </w:r>
      <w:r>
        <w:rPr>
          <w:spacing w:val="-7"/>
          <w:sz w:val="24"/>
        </w:rPr>
        <w:t> </w:t>
      </w:r>
      <w:r>
        <w:rPr>
          <w:sz w:val="24"/>
        </w:rPr>
        <w:t>de recebimento oficial antes da data limite, restou faticamente impossível qualquer ação preventiva ou processamento de pagamento tempestivo por parte do gestor responsável.</w:t>
      </w:r>
    </w:p>
    <w:p>
      <w:pPr>
        <w:pStyle w:val="BodyText"/>
        <w:spacing w:before="97"/>
        <w:ind w:right="241"/>
        <w:jc w:val="both"/>
      </w:pPr>
      <w:r>
        <w:rPr/>
        <w:t>O Conselho solicita o encaminhamento de relatório sobre a matéria, contendo uma minuciosa avaliação do procedimento que foi seguido pela companhia, de modo a identificar a falha que deu origem à ocorrência (multa por atraso de pagamento) e a previr eventos futuros.</w:t>
      </w:r>
    </w:p>
    <w:p>
      <w:pPr>
        <w:pStyle w:val="BodyText"/>
        <w:spacing w:before="231"/>
        <w:ind w:left="0"/>
      </w:pPr>
    </w:p>
    <w:p>
      <w:pPr>
        <w:pStyle w:val="ListParagraph"/>
        <w:numPr>
          <w:ilvl w:val="0"/>
          <w:numId w:val="2"/>
        </w:numPr>
        <w:tabs>
          <w:tab w:pos="544" w:val="left" w:leader="none"/>
        </w:tabs>
        <w:spacing w:line="275" w:lineRule="exact" w:before="1" w:after="0"/>
        <w:ind w:left="544" w:right="0" w:hanging="302"/>
        <w:jc w:val="both"/>
        <w:rPr>
          <w:sz w:val="24"/>
        </w:rPr>
      </w:pPr>
      <w:r>
        <w:rPr>
          <w:b/>
          <w:sz w:val="24"/>
        </w:rPr>
        <w:t>-</w:t>
      </w:r>
      <w:r>
        <w:rPr>
          <w:b/>
          <w:spacing w:val="-9"/>
          <w:sz w:val="24"/>
        </w:rPr>
        <w:t> </w:t>
      </w:r>
      <w:r>
        <w:rPr>
          <w:b/>
          <w:sz w:val="24"/>
        </w:rPr>
        <w:t>FUNCIONAMENTO</w:t>
      </w:r>
      <w:r>
        <w:rPr>
          <w:b/>
          <w:spacing w:val="-7"/>
          <w:sz w:val="24"/>
        </w:rPr>
        <w:t> </w:t>
      </w:r>
      <w:r>
        <w:rPr>
          <w:b/>
          <w:sz w:val="24"/>
        </w:rPr>
        <w:t>DE</w:t>
      </w:r>
      <w:r>
        <w:rPr>
          <w:b/>
          <w:spacing w:val="-7"/>
          <w:sz w:val="24"/>
        </w:rPr>
        <w:t> </w:t>
      </w:r>
      <w:r>
        <w:rPr>
          <w:b/>
          <w:sz w:val="24"/>
        </w:rPr>
        <w:t>REUNIÕES</w:t>
      </w:r>
      <w:r>
        <w:rPr>
          <w:b/>
          <w:spacing w:val="-8"/>
          <w:sz w:val="24"/>
        </w:rPr>
        <w:t> </w:t>
      </w:r>
      <w:r>
        <w:rPr>
          <w:b/>
          <w:sz w:val="24"/>
        </w:rPr>
        <w:t>DO</w:t>
      </w:r>
      <w:r>
        <w:rPr>
          <w:b/>
          <w:spacing w:val="-7"/>
          <w:sz w:val="24"/>
        </w:rPr>
        <w:t> </w:t>
      </w:r>
      <w:r>
        <w:rPr>
          <w:b/>
          <w:sz w:val="24"/>
        </w:rPr>
        <w:t>COLEGIADO</w:t>
      </w:r>
      <w:r>
        <w:rPr>
          <w:b/>
          <w:spacing w:val="-8"/>
          <w:sz w:val="24"/>
        </w:rPr>
        <w:t> </w:t>
      </w:r>
      <w:r>
        <w:rPr>
          <w:b/>
          <w:sz w:val="24"/>
        </w:rPr>
        <w:t>-</w:t>
      </w:r>
      <w:r>
        <w:rPr>
          <w:b/>
          <w:spacing w:val="-12"/>
          <w:sz w:val="24"/>
        </w:rPr>
        <w:t> </w:t>
      </w:r>
      <w:r>
        <w:rPr>
          <w:sz w:val="24"/>
        </w:rPr>
        <w:t>A</w:t>
      </w:r>
      <w:r>
        <w:rPr>
          <w:spacing w:val="-15"/>
          <w:sz w:val="24"/>
        </w:rPr>
        <w:t> </w:t>
      </w:r>
      <w:r>
        <w:rPr>
          <w:sz w:val="24"/>
        </w:rPr>
        <w:t>DIREXE,</w:t>
      </w:r>
      <w:r>
        <w:rPr>
          <w:spacing w:val="-6"/>
          <w:sz w:val="24"/>
        </w:rPr>
        <w:t> </w:t>
      </w:r>
      <w:r>
        <w:rPr>
          <w:sz w:val="24"/>
        </w:rPr>
        <w:t>através</w:t>
      </w:r>
      <w:r>
        <w:rPr>
          <w:spacing w:val="-6"/>
          <w:sz w:val="24"/>
        </w:rPr>
        <w:t> </w:t>
      </w:r>
      <w:r>
        <w:rPr>
          <w:sz w:val="24"/>
        </w:rPr>
        <w:t>do</w:t>
      </w:r>
      <w:r>
        <w:rPr>
          <w:spacing w:val="-5"/>
          <w:sz w:val="24"/>
        </w:rPr>
        <w:t> </w:t>
      </w:r>
      <w:r>
        <w:rPr>
          <w:sz w:val="24"/>
        </w:rPr>
        <w:t>Comunicado</w:t>
      </w:r>
      <w:r>
        <w:rPr>
          <w:spacing w:val="-6"/>
          <w:sz w:val="24"/>
        </w:rPr>
        <w:t> </w:t>
      </w:r>
      <w:r>
        <w:rPr>
          <w:spacing w:val="-5"/>
          <w:sz w:val="24"/>
        </w:rPr>
        <w:t>nº</w:t>
      </w:r>
    </w:p>
    <w:p>
      <w:pPr>
        <w:pStyle w:val="BodyText"/>
        <w:ind w:right="241"/>
        <w:jc w:val="both"/>
      </w:pPr>
      <w:r>
        <w:rPr/>
        <w:t>8/2026/DIREXE-CDC, informou que a Coordenadoria de TI informa que já se encontra em processo de Contratação, SEI 50900.000002/2025-90, a plataforma Office 365, o qual contemplara as solicitações dos conselheiros. Não tem um notebook disponível definitivo para a secretaria da DIREXE e que há um notebook para o empréstimo, o qual é utilizado a outros setores quando solicitado.</w:t>
      </w:r>
    </w:p>
    <w:p>
      <w:pPr>
        <w:pStyle w:val="BodyText"/>
        <w:spacing w:before="111"/>
        <w:jc w:val="both"/>
      </w:pPr>
      <w:r>
        <w:rPr/>
        <w:t>O</w:t>
      </w:r>
      <w:r>
        <w:rPr>
          <w:spacing w:val="-8"/>
        </w:rPr>
        <w:t> </w:t>
      </w:r>
      <w:r>
        <w:rPr/>
        <w:t>Conselho</w:t>
      </w:r>
      <w:r>
        <w:rPr>
          <w:spacing w:val="-7"/>
        </w:rPr>
        <w:t> </w:t>
      </w:r>
      <w:r>
        <w:rPr/>
        <w:t>retira</w:t>
      </w:r>
      <w:r>
        <w:rPr>
          <w:spacing w:val="-8"/>
        </w:rPr>
        <w:t> </w:t>
      </w:r>
      <w:r>
        <w:rPr/>
        <w:t>a</w:t>
      </w:r>
      <w:r>
        <w:rPr>
          <w:spacing w:val="-7"/>
        </w:rPr>
        <w:t> </w:t>
      </w:r>
      <w:r>
        <w:rPr>
          <w:spacing w:val="-2"/>
        </w:rPr>
        <w:t>pendência.</w:t>
      </w:r>
    </w:p>
    <w:p>
      <w:pPr>
        <w:pStyle w:val="BodyText"/>
        <w:spacing w:before="235"/>
        <w:ind w:left="0"/>
      </w:pPr>
    </w:p>
    <w:p>
      <w:pPr>
        <w:pStyle w:val="ListParagraph"/>
        <w:numPr>
          <w:ilvl w:val="0"/>
          <w:numId w:val="2"/>
        </w:numPr>
        <w:tabs>
          <w:tab w:pos="588" w:val="left" w:leader="none"/>
        </w:tabs>
        <w:spacing w:line="240" w:lineRule="auto" w:before="0" w:after="0"/>
        <w:ind w:left="242" w:right="241" w:firstLine="0"/>
        <w:jc w:val="both"/>
        <w:rPr>
          <w:sz w:val="24"/>
        </w:rPr>
      </w:pPr>
      <w:r>
        <w:rPr>
          <w:b/>
          <w:sz w:val="24"/>
        </w:rPr>
        <w:t>- Análise do Balancete e acompanhamento mensal dos resultados econômicos – financeiros – março / 2026 - Energia -</w:t>
      </w:r>
      <w:r>
        <w:rPr>
          <w:b/>
          <w:spacing w:val="-1"/>
          <w:sz w:val="24"/>
        </w:rPr>
        <w:t> </w:t>
      </w:r>
      <w:r>
        <w:rPr>
          <w:sz w:val="24"/>
        </w:rPr>
        <w:t>A</w:t>
      </w:r>
      <w:r>
        <w:rPr>
          <w:spacing w:val="-1"/>
          <w:sz w:val="24"/>
        </w:rPr>
        <w:t> </w:t>
      </w:r>
      <w:r>
        <w:rPr>
          <w:sz w:val="24"/>
        </w:rPr>
        <w:t>DIREXE, através do Comunicado nº 8/2026/DIREXE-CDC, informou que a CODMAN informou que a redução do valor pago pela energia neste período decorre de dois fatores principais: a aquisição de energia no mercado livre (Contrato 001/2025 – KROMA Comercializadora de Energia – SEI:10582517) e a diminuição da carga, considerando que a movimentação de consumo apresenta caráter sazonal.</w:t>
      </w:r>
    </w:p>
    <w:p>
      <w:pPr>
        <w:pStyle w:val="BodyText"/>
        <w:spacing w:before="109"/>
        <w:jc w:val="both"/>
      </w:pPr>
      <w:r>
        <w:rPr/>
        <w:t>O</w:t>
      </w:r>
      <w:r>
        <w:rPr>
          <w:spacing w:val="-8"/>
        </w:rPr>
        <w:t> </w:t>
      </w:r>
      <w:r>
        <w:rPr/>
        <w:t>Conselho</w:t>
      </w:r>
      <w:r>
        <w:rPr>
          <w:spacing w:val="-7"/>
        </w:rPr>
        <w:t> </w:t>
      </w:r>
      <w:r>
        <w:rPr/>
        <w:t>retira</w:t>
      </w:r>
      <w:r>
        <w:rPr>
          <w:spacing w:val="-8"/>
        </w:rPr>
        <w:t> </w:t>
      </w:r>
      <w:r>
        <w:rPr/>
        <w:t>a</w:t>
      </w:r>
      <w:r>
        <w:rPr>
          <w:spacing w:val="-7"/>
        </w:rPr>
        <w:t> </w:t>
      </w:r>
      <w:r>
        <w:rPr>
          <w:spacing w:val="-2"/>
        </w:rPr>
        <w:t>pendência.</w:t>
      </w:r>
    </w:p>
    <w:p>
      <w:pPr>
        <w:pStyle w:val="BodyText"/>
        <w:spacing w:before="235"/>
        <w:ind w:left="0"/>
      </w:pPr>
    </w:p>
    <w:p>
      <w:pPr>
        <w:pStyle w:val="Heading2"/>
        <w:numPr>
          <w:ilvl w:val="0"/>
          <w:numId w:val="2"/>
        </w:numPr>
        <w:tabs>
          <w:tab w:pos="545" w:val="left" w:leader="none"/>
        </w:tabs>
        <w:spacing w:line="275" w:lineRule="exact" w:before="0" w:after="0"/>
        <w:ind w:left="545" w:right="0" w:hanging="303"/>
        <w:jc w:val="both"/>
      </w:pPr>
      <w:r>
        <w:rPr/>
        <w:t>-</w:t>
      </w:r>
      <w:r>
        <w:rPr>
          <w:spacing w:val="-15"/>
        </w:rPr>
        <w:t> </w:t>
      </w:r>
      <w:r>
        <w:rPr/>
        <w:t>Análise</w:t>
      </w:r>
      <w:r>
        <w:rPr>
          <w:spacing w:val="-6"/>
        </w:rPr>
        <w:t> </w:t>
      </w:r>
      <w:r>
        <w:rPr/>
        <w:t>do</w:t>
      </w:r>
      <w:r>
        <w:rPr>
          <w:spacing w:val="-6"/>
        </w:rPr>
        <w:t> </w:t>
      </w:r>
      <w:r>
        <w:rPr/>
        <w:t>Balancete</w:t>
      </w:r>
      <w:r>
        <w:rPr>
          <w:spacing w:val="-5"/>
        </w:rPr>
        <w:t> </w:t>
      </w:r>
      <w:r>
        <w:rPr/>
        <w:t>e</w:t>
      </w:r>
      <w:r>
        <w:rPr>
          <w:spacing w:val="-6"/>
        </w:rPr>
        <w:t> </w:t>
      </w:r>
      <w:r>
        <w:rPr/>
        <w:t>acompanhamento</w:t>
      </w:r>
      <w:r>
        <w:rPr>
          <w:spacing w:val="-5"/>
        </w:rPr>
        <w:t> </w:t>
      </w:r>
      <w:r>
        <w:rPr/>
        <w:t>mensal</w:t>
      </w:r>
      <w:r>
        <w:rPr>
          <w:spacing w:val="-6"/>
        </w:rPr>
        <w:t> </w:t>
      </w:r>
      <w:r>
        <w:rPr/>
        <w:t>dos</w:t>
      </w:r>
      <w:r>
        <w:rPr>
          <w:spacing w:val="-5"/>
        </w:rPr>
        <w:t> </w:t>
      </w:r>
      <w:r>
        <w:rPr/>
        <w:t>resultados</w:t>
      </w:r>
      <w:r>
        <w:rPr>
          <w:spacing w:val="-6"/>
        </w:rPr>
        <w:t> </w:t>
      </w:r>
      <w:r>
        <w:rPr/>
        <w:t>econômicos</w:t>
      </w:r>
      <w:r>
        <w:rPr>
          <w:spacing w:val="-5"/>
        </w:rPr>
        <w:t> </w:t>
      </w:r>
      <w:r>
        <w:rPr/>
        <w:t>–</w:t>
      </w:r>
      <w:r>
        <w:rPr>
          <w:spacing w:val="-6"/>
        </w:rPr>
        <w:t> </w:t>
      </w:r>
      <w:r>
        <w:rPr/>
        <w:t>financeiros</w:t>
      </w:r>
      <w:r>
        <w:rPr>
          <w:spacing w:val="-5"/>
        </w:rPr>
        <w:t> </w:t>
      </w:r>
      <w:r>
        <w:rPr/>
        <w:t>–</w:t>
      </w:r>
      <w:r>
        <w:rPr>
          <w:spacing w:val="-5"/>
        </w:rPr>
        <w:t> </w:t>
      </w:r>
      <w:r>
        <w:rPr>
          <w:spacing w:val="-2"/>
        </w:rPr>
        <w:t>abril</w:t>
      </w:r>
    </w:p>
    <w:p>
      <w:pPr>
        <w:pStyle w:val="BodyText"/>
        <w:ind w:right="245"/>
        <w:jc w:val="both"/>
      </w:pPr>
      <w:r>
        <w:rPr>
          <w:b/>
        </w:rPr>
        <w:t>/ 2026 – Serviços de Informática -</w:t>
      </w:r>
      <w:r>
        <w:rPr>
          <w:b/>
          <w:spacing w:val="-9"/>
        </w:rPr>
        <w:t> </w:t>
      </w:r>
      <w:r>
        <w:rPr/>
        <w:t>A DIREXE, através do Comunicado nº 8/2026/DIREXE-CDC, informou que a Coordenadoria de TI Informou que no período citado, houve incremento nos seguintes serviços: Evolução dos servidores da MXM - ERP , repactuação da Engesoftware e Conectaa, migração dos servidores para a Nuvem e preparação ao "</w:t>
      </w:r>
      <w:r>
        <w:rPr>
          <w:i/>
        </w:rPr>
        <w:t>Disaster Recovery </w:t>
      </w:r>
      <w:r>
        <w:rPr/>
        <w:t>- DR". Salienta que a migrarão dos servidores</w:t>
      </w:r>
      <w:r>
        <w:rPr>
          <w:spacing w:val="-3"/>
        </w:rPr>
        <w:t> </w:t>
      </w:r>
      <w:r>
        <w:rPr/>
        <w:t>teve</w:t>
      </w:r>
      <w:r>
        <w:rPr>
          <w:spacing w:val="-3"/>
        </w:rPr>
        <w:t> </w:t>
      </w:r>
      <w:r>
        <w:rPr/>
        <w:t>um</w:t>
      </w:r>
      <w:r>
        <w:rPr>
          <w:spacing w:val="-3"/>
        </w:rPr>
        <w:t> </w:t>
      </w:r>
      <w:r>
        <w:rPr/>
        <w:t>aumento</w:t>
      </w:r>
      <w:r>
        <w:rPr>
          <w:spacing w:val="-3"/>
        </w:rPr>
        <w:t> </w:t>
      </w:r>
      <w:r>
        <w:rPr/>
        <w:t>substancial,</w:t>
      </w:r>
      <w:r>
        <w:rPr>
          <w:spacing w:val="-3"/>
        </w:rPr>
        <w:t> </w:t>
      </w:r>
      <w:r>
        <w:rPr/>
        <w:t>pois</w:t>
      </w:r>
      <w:r>
        <w:rPr>
          <w:spacing w:val="-3"/>
        </w:rPr>
        <w:t> </w:t>
      </w:r>
      <w:r>
        <w:rPr/>
        <w:t>foi</w:t>
      </w:r>
      <w:r>
        <w:rPr>
          <w:spacing w:val="-3"/>
        </w:rPr>
        <w:t> </w:t>
      </w:r>
      <w:r>
        <w:rPr/>
        <w:t>realizado</w:t>
      </w:r>
      <w:r>
        <w:rPr>
          <w:spacing w:val="-3"/>
        </w:rPr>
        <w:t> </w:t>
      </w:r>
      <w:r>
        <w:rPr/>
        <w:t>uma</w:t>
      </w:r>
      <w:r>
        <w:rPr>
          <w:spacing w:val="-3"/>
        </w:rPr>
        <w:t> </w:t>
      </w:r>
      <w:r>
        <w:rPr/>
        <w:t>cópia</w:t>
      </w:r>
      <w:r>
        <w:rPr>
          <w:spacing w:val="-3"/>
        </w:rPr>
        <w:t> </w:t>
      </w:r>
      <w:r>
        <w:rPr/>
        <w:t>dos</w:t>
      </w:r>
      <w:r>
        <w:rPr>
          <w:spacing w:val="-3"/>
        </w:rPr>
        <w:t> </w:t>
      </w:r>
      <w:r>
        <w:rPr/>
        <w:t>servidores</w:t>
      </w:r>
      <w:r>
        <w:rPr>
          <w:spacing w:val="-3"/>
        </w:rPr>
        <w:t> </w:t>
      </w:r>
      <w:r>
        <w:rPr/>
        <w:t>físicos</w:t>
      </w:r>
      <w:r>
        <w:rPr>
          <w:spacing w:val="-3"/>
        </w:rPr>
        <w:t> </w:t>
      </w:r>
      <w:r>
        <w:rPr/>
        <w:t>do</w:t>
      </w:r>
      <w:r>
        <w:rPr>
          <w:spacing w:val="-3"/>
        </w:rPr>
        <w:t> </w:t>
      </w:r>
      <w:r>
        <w:rPr/>
        <w:t>CDC</w:t>
      </w:r>
      <w:r>
        <w:rPr>
          <w:spacing w:val="-3"/>
        </w:rPr>
        <w:t> </w:t>
      </w:r>
      <w:r>
        <w:rPr/>
        <w:t>para</w:t>
      </w:r>
      <w:r>
        <w:rPr>
          <w:spacing w:val="-3"/>
        </w:rPr>
        <w:t> </w:t>
      </w:r>
      <w:r>
        <w:rPr/>
        <w:t>a </w:t>
      </w:r>
      <w:r>
        <w:rPr>
          <w:spacing w:val="-2"/>
        </w:rPr>
        <w:t>Nuvem.</w:t>
      </w:r>
    </w:p>
    <w:p>
      <w:pPr>
        <w:pStyle w:val="BodyText"/>
        <w:spacing w:before="108"/>
        <w:jc w:val="both"/>
      </w:pPr>
      <w:r>
        <w:rPr/>
        <w:t>O</w:t>
      </w:r>
      <w:r>
        <w:rPr>
          <w:spacing w:val="-8"/>
        </w:rPr>
        <w:t> </w:t>
      </w:r>
      <w:r>
        <w:rPr/>
        <w:t>Conselho</w:t>
      </w:r>
      <w:r>
        <w:rPr>
          <w:spacing w:val="-7"/>
        </w:rPr>
        <w:t> </w:t>
      </w:r>
      <w:r>
        <w:rPr/>
        <w:t>retira</w:t>
      </w:r>
      <w:r>
        <w:rPr>
          <w:spacing w:val="-8"/>
        </w:rPr>
        <w:t> </w:t>
      </w:r>
      <w:r>
        <w:rPr/>
        <w:t>a</w:t>
      </w:r>
      <w:r>
        <w:rPr>
          <w:spacing w:val="-7"/>
        </w:rPr>
        <w:t> </w:t>
      </w:r>
      <w:r>
        <w:rPr>
          <w:spacing w:val="-2"/>
        </w:rPr>
        <w:t>pendência.</w:t>
      </w:r>
    </w:p>
    <w:p>
      <w:pPr>
        <w:pStyle w:val="BodyText"/>
        <w:spacing w:after="0"/>
        <w:jc w:val="both"/>
        <w:sectPr>
          <w:pgSz w:w="11900" w:h="16840"/>
          <w:pgMar w:header="0" w:footer="181" w:top="500" w:bottom="380" w:left="566" w:right="566"/>
        </w:sectPr>
      </w:pPr>
    </w:p>
    <w:p>
      <w:pPr>
        <w:pStyle w:val="ListParagraph"/>
        <w:numPr>
          <w:ilvl w:val="0"/>
          <w:numId w:val="2"/>
        </w:numPr>
        <w:tabs>
          <w:tab w:pos="548" w:val="left" w:leader="none"/>
        </w:tabs>
        <w:spacing w:line="240" w:lineRule="auto" w:before="60" w:after="0"/>
        <w:ind w:left="242" w:right="242" w:firstLine="0"/>
        <w:jc w:val="both"/>
        <w:rPr>
          <w:sz w:val="24"/>
        </w:rPr>
      </w:pPr>
      <w:r>
        <w:rPr>
          <w:b/>
          <w:sz w:val="24"/>
        </w:rPr>
        <w:t>-</w:t>
      </w:r>
      <w:r>
        <w:rPr>
          <w:b/>
          <w:spacing w:val="-8"/>
          <w:sz w:val="24"/>
        </w:rPr>
        <w:t> </w:t>
      </w:r>
      <w:r>
        <w:rPr>
          <w:b/>
          <w:sz w:val="24"/>
        </w:rPr>
        <w:t>Análise do Balanço Patrimonial da CDC de 2025 /</w:t>
      </w:r>
      <w:r>
        <w:rPr>
          <w:b/>
          <w:spacing w:val="-8"/>
          <w:sz w:val="24"/>
        </w:rPr>
        <w:t> </w:t>
      </w:r>
      <w:r>
        <w:rPr>
          <w:b/>
          <w:sz w:val="24"/>
        </w:rPr>
        <w:t>Apresentação do Relatório de</w:t>
      </w:r>
      <w:r>
        <w:rPr>
          <w:b/>
          <w:spacing w:val="-8"/>
          <w:sz w:val="24"/>
        </w:rPr>
        <w:t> </w:t>
      </w:r>
      <w:r>
        <w:rPr>
          <w:b/>
          <w:sz w:val="24"/>
        </w:rPr>
        <w:t>Administração e das Demonstrações Financeiras 2025 / Deliberação sobre a proposta da Diretoria para Destinação do Resultado da CDC no exercício de 2025 – Calendário Relatório Coaud -</w:t>
      </w:r>
      <w:r>
        <w:rPr>
          <w:b/>
          <w:spacing w:val="-9"/>
          <w:sz w:val="24"/>
        </w:rPr>
        <w:t> </w:t>
      </w:r>
      <w:r>
        <w:rPr>
          <w:sz w:val="24"/>
        </w:rPr>
        <w:t>O CONSAD, através do Comunicado</w:t>
      </w:r>
      <w:r>
        <w:rPr>
          <w:spacing w:val="-2"/>
          <w:sz w:val="24"/>
        </w:rPr>
        <w:t> </w:t>
      </w:r>
      <w:r>
        <w:rPr>
          <w:sz w:val="24"/>
        </w:rPr>
        <w:t>nº</w:t>
      </w:r>
      <w:r>
        <w:rPr>
          <w:spacing w:val="-2"/>
          <w:sz w:val="24"/>
        </w:rPr>
        <w:t> </w:t>
      </w:r>
      <w:r>
        <w:rPr>
          <w:sz w:val="24"/>
        </w:rPr>
        <w:t>6/2026/CONSAD-CDC,</w:t>
      </w:r>
      <w:r>
        <w:rPr>
          <w:spacing w:val="-2"/>
          <w:sz w:val="24"/>
        </w:rPr>
        <w:t> </w:t>
      </w:r>
      <w:r>
        <w:rPr>
          <w:sz w:val="24"/>
        </w:rPr>
        <w:t>informou</w:t>
      </w:r>
      <w:r>
        <w:rPr>
          <w:spacing w:val="-2"/>
          <w:sz w:val="24"/>
        </w:rPr>
        <w:t> </w:t>
      </w:r>
      <w:r>
        <w:rPr>
          <w:sz w:val="24"/>
        </w:rPr>
        <w:t>que</w:t>
      </w:r>
      <w:r>
        <w:rPr>
          <w:spacing w:val="-2"/>
          <w:sz w:val="24"/>
        </w:rPr>
        <w:t> </w:t>
      </w:r>
      <w:r>
        <w:rPr>
          <w:sz w:val="24"/>
        </w:rPr>
        <w:t>o</w:t>
      </w:r>
      <w:r>
        <w:rPr>
          <w:spacing w:val="-2"/>
          <w:sz w:val="24"/>
        </w:rPr>
        <w:t> </w:t>
      </w:r>
      <w:r>
        <w:rPr>
          <w:sz w:val="24"/>
        </w:rPr>
        <w:t>assunto</w:t>
      </w:r>
      <w:r>
        <w:rPr>
          <w:spacing w:val="-2"/>
          <w:sz w:val="24"/>
        </w:rPr>
        <w:t> </w:t>
      </w:r>
      <w:r>
        <w:rPr>
          <w:sz w:val="24"/>
        </w:rPr>
        <w:t>será</w:t>
      </w:r>
      <w:r>
        <w:rPr>
          <w:spacing w:val="-2"/>
          <w:sz w:val="24"/>
        </w:rPr>
        <w:t> </w:t>
      </w:r>
      <w:r>
        <w:rPr>
          <w:sz w:val="24"/>
        </w:rPr>
        <w:t>submetido</w:t>
      </w:r>
      <w:r>
        <w:rPr>
          <w:spacing w:val="-2"/>
          <w:sz w:val="24"/>
        </w:rPr>
        <w:t> </w:t>
      </w:r>
      <w:r>
        <w:rPr>
          <w:sz w:val="24"/>
        </w:rPr>
        <w:t>para</w:t>
      </w:r>
      <w:r>
        <w:rPr>
          <w:spacing w:val="-2"/>
          <w:sz w:val="24"/>
        </w:rPr>
        <w:t> </w:t>
      </w:r>
      <w:r>
        <w:rPr>
          <w:sz w:val="24"/>
        </w:rPr>
        <w:t>análise</w:t>
      </w:r>
      <w:r>
        <w:rPr>
          <w:spacing w:val="-2"/>
          <w:sz w:val="24"/>
        </w:rPr>
        <w:t> </w:t>
      </w:r>
      <w:r>
        <w:rPr>
          <w:sz w:val="24"/>
        </w:rPr>
        <w:t>do</w:t>
      </w:r>
      <w:r>
        <w:rPr>
          <w:spacing w:val="-2"/>
          <w:sz w:val="24"/>
        </w:rPr>
        <w:t> </w:t>
      </w:r>
      <w:r>
        <w:rPr>
          <w:sz w:val="24"/>
        </w:rPr>
        <w:t>CONSAD em sua próxima reunião.</w:t>
      </w:r>
    </w:p>
    <w:p>
      <w:pPr>
        <w:pStyle w:val="BodyText"/>
        <w:spacing w:before="111"/>
        <w:jc w:val="both"/>
      </w:pPr>
      <w:r>
        <w:rPr/>
        <w:t>O</w:t>
      </w:r>
      <w:r>
        <w:rPr>
          <w:spacing w:val="-10"/>
        </w:rPr>
        <w:t> </w:t>
      </w:r>
      <w:r>
        <w:rPr/>
        <w:t>Conselho</w:t>
      </w:r>
      <w:r>
        <w:rPr>
          <w:spacing w:val="-10"/>
        </w:rPr>
        <w:t> </w:t>
      </w:r>
      <w:r>
        <w:rPr/>
        <w:t>acompanhará</w:t>
      </w:r>
      <w:r>
        <w:rPr>
          <w:spacing w:val="-10"/>
        </w:rPr>
        <w:t> </w:t>
      </w:r>
      <w:r>
        <w:rPr/>
        <w:t>o</w:t>
      </w:r>
      <w:r>
        <w:rPr>
          <w:spacing w:val="-9"/>
        </w:rPr>
        <w:t> </w:t>
      </w:r>
      <w:r>
        <w:rPr>
          <w:spacing w:val="-2"/>
        </w:rPr>
        <w:t>assunto.</w:t>
      </w:r>
    </w:p>
    <w:p>
      <w:pPr>
        <w:pStyle w:val="BodyText"/>
        <w:spacing w:before="235"/>
        <w:ind w:left="0"/>
      </w:pPr>
    </w:p>
    <w:p>
      <w:pPr>
        <w:pStyle w:val="ListParagraph"/>
        <w:numPr>
          <w:ilvl w:val="0"/>
          <w:numId w:val="2"/>
        </w:numPr>
        <w:tabs>
          <w:tab w:pos="553" w:val="left" w:leader="none"/>
        </w:tabs>
        <w:spacing w:line="240" w:lineRule="auto" w:before="0" w:after="0"/>
        <w:ind w:left="242" w:right="242" w:firstLine="0"/>
        <w:jc w:val="both"/>
        <w:rPr>
          <w:sz w:val="24"/>
        </w:rPr>
      </w:pPr>
      <w:r>
        <w:rPr>
          <w:b/>
          <w:sz w:val="24"/>
        </w:rPr>
        <w:t>- Minuta da</w:t>
      </w:r>
      <w:r>
        <w:rPr>
          <w:b/>
          <w:spacing w:val="-5"/>
          <w:sz w:val="24"/>
        </w:rPr>
        <w:t> </w:t>
      </w:r>
      <w:r>
        <w:rPr>
          <w:b/>
          <w:sz w:val="24"/>
        </w:rPr>
        <w:t>Ata da 608ª Reunião Ordinária do CONSAD – Ex-conselheira - </w:t>
      </w:r>
      <w:r>
        <w:rPr>
          <w:sz w:val="24"/>
        </w:rPr>
        <w:t>O CONSAD, através do Comunicado nº 6/2026/CONSAD-CDC, informou que a Coordenadoria Jurídica apresentou manifestação acerca da matéria, expondo os aspectos jurídicos pertinentes. O assunto será submetido ao Conselho de Administração, para apreciação e deliberação, conforme sua competência.</w:t>
      </w:r>
    </w:p>
    <w:p>
      <w:pPr>
        <w:pStyle w:val="BodyText"/>
        <w:spacing w:before="112"/>
        <w:jc w:val="both"/>
      </w:pPr>
      <w:r>
        <w:rPr/>
        <w:t>O</w:t>
      </w:r>
      <w:r>
        <w:rPr>
          <w:spacing w:val="-10"/>
        </w:rPr>
        <w:t> </w:t>
      </w:r>
      <w:r>
        <w:rPr/>
        <w:t>Conselho</w:t>
      </w:r>
      <w:r>
        <w:rPr>
          <w:spacing w:val="-10"/>
        </w:rPr>
        <w:t> </w:t>
      </w:r>
      <w:r>
        <w:rPr/>
        <w:t>acompanhará</w:t>
      </w:r>
      <w:r>
        <w:rPr>
          <w:spacing w:val="-10"/>
        </w:rPr>
        <w:t> </w:t>
      </w:r>
      <w:r>
        <w:rPr/>
        <w:t>o</w:t>
      </w:r>
      <w:r>
        <w:rPr>
          <w:spacing w:val="-9"/>
        </w:rPr>
        <w:t> </w:t>
      </w:r>
      <w:r>
        <w:rPr>
          <w:spacing w:val="-2"/>
        </w:rPr>
        <w:t>assunto.</w:t>
      </w:r>
    </w:p>
    <w:p>
      <w:pPr>
        <w:pStyle w:val="BodyText"/>
        <w:spacing w:before="235"/>
        <w:ind w:left="0"/>
      </w:pPr>
    </w:p>
    <w:p>
      <w:pPr>
        <w:pStyle w:val="ListParagraph"/>
        <w:numPr>
          <w:ilvl w:val="0"/>
          <w:numId w:val="2"/>
        </w:numPr>
        <w:tabs>
          <w:tab w:pos="543" w:val="left" w:leader="none"/>
        </w:tabs>
        <w:spacing w:line="240" w:lineRule="auto" w:before="0" w:after="0"/>
        <w:ind w:left="242" w:right="242" w:firstLine="0"/>
        <w:jc w:val="both"/>
        <w:rPr>
          <w:sz w:val="24"/>
        </w:rPr>
      </w:pPr>
      <w:r>
        <w:rPr>
          <w:b/>
          <w:sz w:val="24"/>
        </w:rPr>
        <w:t>-</w:t>
      </w:r>
      <w:r>
        <w:rPr>
          <w:b/>
          <w:spacing w:val="-2"/>
          <w:sz w:val="24"/>
        </w:rPr>
        <w:t> </w:t>
      </w:r>
      <w:r>
        <w:rPr>
          <w:b/>
          <w:sz w:val="24"/>
        </w:rPr>
        <w:t>Minuta</w:t>
      </w:r>
      <w:r>
        <w:rPr>
          <w:b/>
          <w:spacing w:val="-2"/>
          <w:sz w:val="24"/>
        </w:rPr>
        <w:t> </w:t>
      </w:r>
      <w:r>
        <w:rPr>
          <w:b/>
          <w:sz w:val="24"/>
        </w:rPr>
        <w:t>da</w:t>
      </w:r>
      <w:r>
        <w:rPr>
          <w:b/>
          <w:spacing w:val="-13"/>
          <w:sz w:val="24"/>
        </w:rPr>
        <w:t> </w:t>
      </w:r>
      <w:r>
        <w:rPr>
          <w:b/>
          <w:sz w:val="24"/>
        </w:rPr>
        <w:t>Ata</w:t>
      </w:r>
      <w:r>
        <w:rPr>
          <w:b/>
          <w:spacing w:val="-2"/>
          <w:sz w:val="24"/>
        </w:rPr>
        <w:t> </w:t>
      </w:r>
      <w:r>
        <w:rPr>
          <w:b/>
          <w:sz w:val="24"/>
        </w:rPr>
        <w:t>da</w:t>
      </w:r>
      <w:r>
        <w:rPr>
          <w:b/>
          <w:spacing w:val="-2"/>
          <w:sz w:val="24"/>
        </w:rPr>
        <w:t> </w:t>
      </w:r>
      <w:r>
        <w:rPr>
          <w:b/>
          <w:sz w:val="24"/>
        </w:rPr>
        <w:t>610ª</w:t>
      </w:r>
      <w:r>
        <w:rPr>
          <w:b/>
          <w:spacing w:val="-2"/>
          <w:sz w:val="24"/>
        </w:rPr>
        <w:t> </w:t>
      </w:r>
      <w:r>
        <w:rPr>
          <w:b/>
          <w:sz w:val="24"/>
        </w:rPr>
        <w:t>Reunião</w:t>
      </w:r>
      <w:r>
        <w:rPr>
          <w:b/>
          <w:spacing w:val="-2"/>
          <w:sz w:val="24"/>
        </w:rPr>
        <w:t> </w:t>
      </w:r>
      <w:r>
        <w:rPr>
          <w:b/>
          <w:sz w:val="24"/>
        </w:rPr>
        <w:t>Ordinária</w:t>
      </w:r>
      <w:r>
        <w:rPr>
          <w:b/>
          <w:spacing w:val="-2"/>
          <w:sz w:val="24"/>
        </w:rPr>
        <w:t> </w:t>
      </w:r>
      <w:r>
        <w:rPr>
          <w:b/>
          <w:sz w:val="24"/>
        </w:rPr>
        <w:t>do</w:t>
      </w:r>
      <w:r>
        <w:rPr>
          <w:b/>
          <w:spacing w:val="-2"/>
          <w:sz w:val="24"/>
        </w:rPr>
        <w:t> </w:t>
      </w:r>
      <w:r>
        <w:rPr>
          <w:b/>
          <w:sz w:val="24"/>
        </w:rPr>
        <w:t>CONSAD</w:t>
      </w:r>
      <w:r>
        <w:rPr>
          <w:b/>
          <w:spacing w:val="-2"/>
          <w:sz w:val="24"/>
        </w:rPr>
        <w:t> </w:t>
      </w:r>
      <w:r>
        <w:rPr>
          <w:b/>
          <w:sz w:val="24"/>
        </w:rPr>
        <w:t>–</w:t>
      </w:r>
      <w:r>
        <w:rPr>
          <w:b/>
          <w:spacing w:val="-13"/>
          <w:sz w:val="24"/>
        </w:rPr>
        <w:t> </w:t>
      </w:r>
      <w:r>
        <w:rPr>
          <w:b/>
          <w:sz w:val="24"/>
        </w:rPr>
        <w:t>Ajuste</w:t>
      </w:r>
      <w:r>
        <w:rPr>
          <w:b/>
          <w:spacing w:val="-2"/>
          <w:sz w:val="24"/>
        </w:rPr>
        <w:t> </w:t>
      </w:r>
      <w:r>
        <w:rPr>
          <w:b/>
          <w:sz w:val="24"/>
        </w:rPr>
        <w:t>na</w:t>
      </w:r>
      <w:r>
        <w:rPr>
          <w:b/>
          <w:spacing w:val="-2"/>
          <w:sz w:val="24"/>
        </w:rPr>
        <w:t> </w:t>
      </w:r>
      <w:r>
        <w:rPr>
          <w:b/>
          <w:sz w:val="24"/>
        </w:rPr>
        <w:t>ata</w:t>
      </w:r>
      <w:r>
        <w:rPr>
          <w:b/>
          <w:spacing w:val="-2"/>
          <w:sz w:val="24"/>
        </w:rPr>
        <w:t> </w:t>
      </w:r>
      <w:r>
        <w:rPr>
          <w:b/>
          <w:sz w:val="24"/>
        </w:rPr>
        <w:t>-</w:t>
      </w:r>
      <w:r>
        <w:rPr>
          <w:b/>
          <w:spacing w:val="23"/>
          <w:sz w:val="24"/>
        </w:rPr>
        <w:t> </w:t>
      </w:r>
      <w:r>
        <w:rPr>
          <w:sz w:val="24"/>
        </w:rPr>
        <w:t>O</w:t>
      </w:r>
      <w:r>
        <w:rPr>
          <w:spacing w:val="-2"/>
          <w:sz w:val="24"/>
        </w:rPr>
        <w:t> </w:t>
      </w:r>
      <w:r>
        <w:rPr>
          <w:sz w:val="24"/>
        </w:rPr>
        <w:t>CONSAD,</w:t>
      </w:r>
      <w:r>
        <w:rPr>
          <w:spacing w:val="-2"/>
          <w:sz w:val="24"/>
        </w:rPr>
        <w:t> </w:t>
      </w:r>
      <w:r>
        <w:rPr>
          <w:sz w:val="24"/>
        </w:rPr>
        <w:t>através</w:t>
      </w:r>
      <w:r>
        <w:rPr>
          <w:spacing w:val="-2"/>
          <w:sz w:val="24"/>
        </w:rPr>
        <w:t> </w:t>
      </w:r>
      <w:r>
        <w:rPr>
          <w:sz w:val="24"/>
        </w:rPr>
        <w:t>do Comunicado nº 6/2026/CONSAD-CDC, informou que a informação foi retificada na ata do Conselho de Administração nº 611, ocorrida em 08 de Junho de 2026.</w:t>
      </w:r>
    </w:p>
    <w:p>
      <w:pPr>
        <w:pStyle w:val="BodyText"/>
        <w:spacing w:before="114"/>
        <w:jc w:val="both"/>
      </w:pPr>
      <w:r>
        <w:rPr/>
        <w:t>O</w:t>
      </w:r>
      <w:r>
        <w:rPr>
          <w:spacing w:val="-8"/>
        </w:rPr>
        <w:t> </w:t>
      </w:r>
      <w:r>
        <w:rPr/>
        <w:t>Conselho</w:t>
      </w:r>
      <w:r>
        <w:rPr>
          <w:spacing w:val="-7"/>
        </w:rPr>
        <w:t> </w:t>
      </w:r>
      <w:r>
        <w:rPr/>
        <w:t>retira</w:t>
      </w:r>
      <w:r>
        <w:rPr>
          <w:spacing w:val="-8"/>
        </w:rPr>
        <w:t> </w:t>
      </w:r>
      <w:r>
        <w:rPr/>
        <w:t>a</w:t>
      </w:r>
      <w:r>
        <w:rPr>
          <w:spacing w:val="-7"/>
        </w:rPr>
        <w:t> </w:t>
      </w:r>
      <w:r>
        <w:rPr>
          <w:spacing w:val="-2"/>
        </w:rPr>
        <w:t>pendência.</w:t>
      </w:r>
    </w:p>
    <w:p>
      <w:pPr>
        <w:pStyle w:val="BodyText"/>
        <w:spacing w:before="235"/>
        <w:ind w:left="0"/>
      </w:pPr>
    </w:p>
    <w:p>
      <w:pPr>
        <w:pStyle w:val="ListParagraph"/>
        <w:numPr>
          <w:ilvl w:val="0"/>
          <w:numId w:val="2"/>
        </w:numPr>
        <w:tabs>
          <w:tab w:pos="546" w:val="left" w:leader="none"/>
        </w:tabs>
        <w:spacing w:line="240" w:lineRule="auto" w:before="0" w:after="0"/>
        <w:ind w:left="242" w:right="240" w:firstLine="0"/>
        <w:jc w:val="both"/>
        <w:rPr>
          <w:sz w:val="24"/>
        </w:rPr>
      </w:pPr>
      <w:r>
        <w:rPr>
          <w:b/>
          <w:sz w:val="24"/>
        </w:rPr>
        <w:t>- Relatório de</w:t>
      </w:r>
      <w:r>
        <w:rPr>
          <w:b/>
          <w:spacing w:val="-11"/>
          <w:sz w:val="24"/>
        </w:rPr>
        <w:t> </w:t>
      </w:r>
      <w:r>
        <w:rPr>
          <w:b/>
          <w:sz w:val="24"/>
        </w:rPr>
        <w:t>Auditoria Externa referente ao 3º trimestre / 2025 –</w:t>
      </w:r>
      <w:r>
        <w:rPr>
          <w:b/>
          <w:spacing w:val="-11"/>
          <w:sz w:val="24"/>
        </w:rPr>
        <w:t> </w:t>
      </w:r>
      <w:r>
        <w:rPr>
          <w:b/>
          <w:sz w:val="24"/>
        </w:rPr>
        <w:t>Apresentação do Relatório -</w:t>
      </w:r>
      <w:r>
        <w:rPr>
          <w:b/>
          <w:spacing w:val="40"/>
          <w:sz w:val="24"/>
        </w:rPr>
        <w:t> </w:t>
      </w:r>
      <w:r>
        <w:rPr>
          <w:sz w:val="24"/>
        </w:rPr>
        <w:t>O CONSAD,</w:t>
      </w:r>
      <w:r>
        <w:rPr>
          <w:spacing w:val="-8"/>
          <w:sz w:val="24"/>
        </w:rPr>
        <w:t> </w:t>
      </w:r>
      <w:r>
        <w:rPr>
          <w:sz w:val="24"/>
        </w:rPr>
        <w:t>através</w:t>
      </w:r>
      <w:r>
        <w:rPr>
          <w:spacing w:val="-8"/>
          <w:sz w:val="24"/>
        </w:rPr>
        <w:t> </w:t>
      </w:r>
      <w:r>
        <w:rPr>
          <w:sz w:val="24"/>
        </w:rPr>
        <w:t>do</w:t>
      </w:r>
      <w:r>
        <w:rPr>
          <w:spacing w:val="-8"/>
          <w:sz w:val="24"/>
        </w:rPr>
        <w:t> </w:t>
      </w:r>
      <w:r>
        <w:rPr>
          <w:sz w:val="24"/>
        </w:rPr>
        <w:t>Comunicado</w:t>
      </w:r>
      <w:r>
        <w:rPr>
          <w:spacing w:val="-8"/>
          <w:sz w:val="24"/>
        </w:rPr>
        <w:t> </w:t>
      </w:r>
      <w:r>
        <w:rPr>
          <w:sz w:val="24"/>
        </w:rPr>
        <w:t>nº</w:t>
      </w:r>
      <w:r>
        <w:rPr>
          <w:spacing w:val="-8"/>
          <w:sz w:val="24"/>
        </w:rPr>
        <w:t> </w:t>
      </w:r>
      <w:r>
        <w:rPr>
          <w:sz w:val="24"/>
        </w:rPr>
        <w:t>6/2026/CONSAD-CDC,</w:t>
      </w:r>
      <w:r>
        <w:rPr>
          <w:spacing w:val="-8"/>
          <w:sz w:val="24"/>
        </w:rPr>
        <w:t> </w:t>
      </w:r>
      <w:r>
        <w:rPr>
          <w:sz w:val="24"/>
        </w:rPr>
        <w:t>informou</w:t>
      </w:r>
      <w:r>
        <w:rPr>
          <w:spacing w:val="-8"/>
          <w:sz w:val="24"/>
        </w:rPr>
        <w:t> </w:t>
      </w:r>
      <w:r>
        <w:rPr>
          <w:sz w:val="24"/>
        </w:rPr>
        <w:t>que</w:t>
      </w:r>
      <w:r>
        <w:rPr>
          <w:spacing w:val="-8"/>
          <w:sz w:val="24"/>
        </w:rPr>
        <w:t> </w:t>
      </w:r>
      <w:r>
        <w:rPr>
          <w:sz w:val="24"/>
        </w:rPr>
        <w:t>o</w:t>
      </w:r>
      <w:r>
        <w:rPr>
          <w:spacing w:val="-8"/>
          <w:sz w:val="24"/>
        </w:rPr>
        <w:t> </w:t>
      </w:r>
      <w:r>
        <w:rPr>
          <w:sz w:val="24"/>
        </w:rPr>
        <w:t>assunto</w:t>
      </w:r>
      <w:r>
        <w:rPr>
          <w:spacing w:val="-8"/>
          <w:sz w:val="24"/>
        </w:rPr>
        <w:t> </w:t>
      </w:r>
      <w:r>
        <w:rPr>
          <w:sz w:val="24"/>
        </w:rPr>
        <w:t>será</w:t>
      </w:r>
      <w:r>
        <w:rPr>
          <w:spacing w:val="-8"/>
          <w:sz w:val="24"/>
        </w:rPr>
        <w:t> </w:t>
      </w:r>
      <w:r>
        <w:rPr>
          <w:sz w:val="24"/>
        </w:rPr>
        <w:t>submetido</w:t>
      </w:r>
      <w:r>
        <w:rPr>
          <w:spacing w:val="-8"/>
          <w:sz w:val="24"/>
        </w:rPr>
        <w:t> </w:t>
      </w:r>
      <w:r>
        <w:rPr>
          <w:sz w:val="24"/>
        </w:rPr>
        <w:t>para análise do CONSAD em sua próxima reunião.</w:t>
      </w:r>
    </w:p>
    <w:p>
      <w:pPr>
        <w:pStyle w:val="BodyText"/>
        <w:spacing w:before="114"/>
        <w:jc w:val="both"/>
      </w:pPr>
      <w:r>
        <w:rPr/>
        <w:t>O</w:t>
      </w:r>
      <w:r>
        <w:rPr>
          <w:spacing w:val="-10"/>
        </w:rPr>
        <w:t> </w:t>
      </w:r>
      <w:r>
        <w:rPr/>
        <w:t>Conselho</w:t>
      </w:r>
      <w:r>
        <w:rPr>
          <w:spacing w:val="-10"/>
        </w:rPr>
        <w:t> </w:t>
      </w:r>
      <w:r>
        <w:rPr/>
        <w:t>acompanhará</w:t>
      </w:r>
      <w:r>
        <w:rPr>
          <w:spacing w:val="-10"/>
        </w:rPr>
        <w:t> </w:t>
      </w:r>
      <w:r>
        <w:rPr/>
        <w:t>o</w:t>
      </w:r>
      <w:r>
        <w:rPr>
          <w:spacing w:val="-9"/>
        </w:rPr>
        <w:t> </w:t>
      </w:r>
      <w:r>
        <w:rPr>
          <w:spacing w:val="-2"/>
        </w:rPr>
        <w:t>assunto.</w:t>
      </w:r>
    </w:p>
    <w:p>
      <w:pPr>
        <w:pStyle w:val="BodyText"/>
        <w:spacing w:before="235"/>
        <w:ind w:left="0"/>
      </w:pPr>
    </w:p>
    <w:p>
      <w:pPr>
        <w:pStyle w:val="ListParagraph"/>
        <w:numPr>
          <w:ilvl w:val="0"/>
          <w:numId w:val="2"/>
        </w:numPr>
        <w:tabs>
          <w:tab w:pos="556" w:val="left" w:leader="none"/>
        </w:tabs>
        <w:spacing w:line="240" w:lineRule="auto" w:before="0" w:after="0"/>
        <w:ind w:left="242" w:right="242" w:firstLine="0"/>
        <w:jc w:val="both"/>
        <w:rPr>
          <w:sz w:val="24"/>
        </w:rPr>
      </w:pPr>
      <w:r>
        <w:rPr>
          <w:b/>
          <w:sz w:val="24"/>
        </w:rPr>
        <w:t>- Atas das 2479ª a 2484ª Reuniões Ordinárias e 68ª a 71ª Reuniões Extraordinárias da DIREXE, realizadas em setembro / 2024 – Emergencial Vale alimentação/refeição, Emergencial CFTV e Preocupação com as Contratações em caráter emergencial - PCA - </w:t>
      </w:r>
      <w:r>
        <w:rPr>
          <w:sz w:val="24"/>
        </w:rPr>
        <w:t>O CONSAD, através do Comunicado</w:t>
      </w:r>
      <w:r>
        <w:rPr>
          <w:spacing w:val="-2"/>
          <w:sz w:val="24"/>
        </w:rPr>
        <w:t> </w:t>
      </w:r>
      <w:r>
        <w:rPr>
          <w:sz w:val="24"/>
        </w:rPr>
        <w:t>nº</w:t>
      </w:r>
      <w:r>
        <w:rPr>
          <w:spacing w:val="-2"/>
          <w:sz w:val="24"/>
        </w:rPr>
        <w:t> </w:t>
      </w:r>
      <w:r>
        <w:rPr>
          <w:sz w:val="24"/>
        </w:rPr>
        <w:t>6/2026/CONSAD-CDC,</w:t>
      </w:r>
      <w:r>
        <w:rPr>
          <w:spacing w:val="-2"/>
          <w:sz w:val="24"/>
        </w:rPr>
        <w:t> </w:t>
      </w:r>
      <w:r>
        <w:rPr>
          <w:sz w:val="24"/>
        </w:rPr>
        <w:t>informou</w:t>
      </w:r>
      <w:r>
        <w:rPr>
          <w:spacing w:val="-2"/>
          <w:sz w:val="24"/>
        </w:rPr>
        <w:t> </w:t>
      </w:r>
      <w:r>
        <w:rPr>
          <w:sz w:val="24"/>
        </w:rPr>
        <w:t>que</w:t>
      </w:r>
      <w:r>
        <w:rPr>
          <w:spacing w:val="-2"/>
          <w:sz w:val="24"/>
        </w:rPr>
        <w:t> </w:t>
      </w:r>
      <w:r>
        <w:rPr>
          <w:sz w:val="24"/>
        </w:rPr>
        <w:t>o</w:t>
      </w:r>
      <w:r>
        <w:rPr>
          <w:spacing w:val="-2"/>
          <w:sz w:val="24"/>
        </w:rPr>
        <w:t> </w:t>
      </w:r>
      <w:r>
        <w:rPr>
          <w:sz w:val="24"/>
        </w:rPr>
        <w:t>assunto</w:t>
      </w:r>
      <w:r>
        <w:rPr>
          <w:spacing w:val="-2"/>
          <w:sz w:val="24"/>
        </w:rPr>
        <w:t> </w:t>
      </w:r>
      <w:r>
        <w:rPr>
          <w:sz w:val="24"/>
        </w:rPr>
        <w:t>será</w:t>
      </w:r>
      <w:r>
        <w:rPr>
          <w:spacing w:val="-2"/>
          <w:sz w:val="24"/>
        </w:rPr>
        <w:t> </w:t>
      </w:r>
      <w:r>
        <w:rPr>
          <w:sz w:val="24"/>
        </w:rPr>
        <w:t>submetido</w:t>
      </w:r>
      <w:r>
        <w:rPr>
          <w:spacing w:val="-2"/>
          <w:sz w:val="24"/>
        </w:rPr>
        <w:t> </w:t>
      </w:r>
      <w:r>
        <w:rPr>
          <w:sz w:val="24"/>
        </w:rPr>
        <w:t>para</w:t>
      </w:r>
      <w:r>
        <w:rPr>
          <w:spacing w:val="-2"/>
          <w:sz w:val="24"/>
        </w:rPr>
        <w:t> </w:t>
      </w:r>
      <w:r>
        <w:rPr>
          <w:sz w:val="24"/>
        </w:rPr>
        <w:t>análise</w:t>
      </w:r>
      <w:r>
        <w:rPr>
          <w:spacing w:val="-2"/>
          <w:sz w:val="24"/>
        </w:rPr>
        <w:t> </w:t>
      </w:r>
      <w:r>
        <w:rPr>
          <w:sz w:val="24"/>
        </w:rPr>
        <w:t>do</w:t>
      </w:r>
      <w:r>
        <w:rPr>
          <w:spacing w:val="-2"/>
          <w:sz w:val="24"/>
        </w:rPr>
        <w:t> </w:t>
      </w:r>
      <w:r>
        <w:rPr>
          <w:sz w:val="24"/>
        </w:rPr>
        <w:t>CONSAD em sua próxima reunião.</w:t>
      </w:r>
    </w:p>
    <w:p>
      <w:pPr>
        <w:pStyle w:val="BodyText"/>
        <w:spacing w:before="111"/>
        <w:ind w:right="249"/>
        <w:jc w:val="both"/>
      </w:pPr>
      <w:r>
        <w:rPr/>
        <w:t>O Conselho acompanhará o assunto, ressaltando sua preocupação quanto ao atraso na revisão do PCA 2026, que foi aprovado com falhas.</w:t>
      </w:r>
    </w:p>
    <w:p>
      <w:pPr>
        <w:pStyle w:val="BodyText"/>
        <w:spacing w:before="233"/>
        <w:ind w:left="0"/>
      </w:pPr>
    </w:p>
    <w:p>
      <w:pPr>
        <w:pStyle w:val="ListParagraph"/>
        <w:numPr>
          <w:ilvl w:val="0"/>
          <w:numId w:val="2"/>
        </w:numPr>
        <w:tabs>
          <w:tab w:pos="563" w:val="left" w:leader="none"/>
        </w:tabs>
        <w:spacing w:line="240" w:lineRule="auto" w:before="0" w:after="0"/>
        <w:ind w:left="242" w:right="240" w:firstLine="0"/>
        <w:jc w:val="both"/>
        <w:rPr>
          <w:sz w:val="24"/>
        </w:rPr>
      </w:pPr>
      <w:r>
        <w:rPr>
          <w:b/>
          <w:sz w:val="24"/>
        </w:rPr>
        <w:t>- Atas da 2540ª a 2542ª Reuniões Ordinárias e 95ª e 96ª Reuniões Extraordinárias da DIREXE, realizadas em março e abril/2026 – Contratações emergenciais e Reconhecimento de dívidas -</w:t>
      </w:r>
      <w:r>
        <w:rPr>
          <w:b/>
          <w:spacing w:val="-5"/>
          <w:sz w:val="24"/>
        </w:rPr>
        <w:t> </w:t>
      </w:r>
      <w:r>
        <w:rPr>
          <w:sz w:val="24"/>
        </w:rPr>
        <w:t>O CONSAD,</w:t>
      </w:r>
      <w:r>
        <w:rPr>
          <w:spacing w:val="-8"/>
          <w:sz w:val="24"/>
        </w:rPr>
        <w:t> </w:t>
      </w:r>
      <w:r>
        <w:rPr>
          <w:sz w:val="24"/>
        </w:rPr>
        <w:t>através</w:t>
      </w:r>
      <w:r>
        <w:rPr>
          <w:spacing w:val="-8"/>
          <w:sz w:val="24"/>
        </w:rPr>
        <w:t> </w:t>
      </w:r>
      <w:r>
        <w:rPr>
          <w:sz w:val="24"/>
        </w:rPr>
        <w:t>do</w:t>
      </w:r>
      <w:r>
        <w:rPr>
          <w:spacing w:val="-8"/>
          <w:sz w:val="24"/>
        </w:rPr>
        <w:t> </w:t>
      </w:r>
      <w:r>
        <w:rPr>
          <w:sz w:val="24"/>
        </w:rPr>
        <w:t>Comunicado</w:t>
      </w:r>
      <w:r>
        <w:rPr>
          <w:spacing w:val="-8"/>
          <w:sz w:val="24"/>
        </w:rPr>
        <w:t> </w:t>
      </w:r>
      <w:r>
        <w:rPr>
          <w:sz w:val="24"/>
        </w:rPr>
        <w:t>nº</w:t>
      </w:r>
      <w:r>
        <w:rPr>
          <w:spacing w:val="-8"/>
          <w:sz w:val="24"/>
        </w:rPr>
        <w:t> </w:t>
      </w:r>
      <w:r>
        <w:rPr>
          <w:sz w:val="24"/>
        </w:rPr>
        <w:t>6/2026/CONSAD-CDC,</w:t>
      </w:r>
      <w:r>
        <w:rPr>
          <w:spacing w:val="-8"/>
          <w:sz w:val="24"/>
        </w:rPr>
        <w:t> </w:t>
      </w:r>
      <w:r>
        <w:rPr>
          <w:sz w:val="24"/>
        </w:rPr>
        <w:t>informou</w:t>
      </w:r>
      <w:r>
        <w:rPr>
          <w:spacing w:val="-8"/>
          <w:sz w:val="24"/>
        </w:rPr>
        <w:t> </w:t>
      </w:r>
      <w:r>
        <w:rPr>
          <w:sz w:val="24"/>
        </w:rPr>
        <w:t>que</w:t>
      </w:r>
      <w:r>
        <w:rPr>
          <w:spacing w:val="-8"/>
          <w:sz w:val="24"/>
        </w:rPr>
        <w:t> </w:t>
      </w:r>
      <w:r>
        <w:rPr>
          <w:sz w:val="24"/>
        </w:rPr>
        <w:t>o</w:t>
      </w:r>
      <w:r>
        <w:rPr>
          <w:spacing w:val="-8"/>
          <w:sz w:val="24"/>
        </w:rPr>
        <w:t> </w:t>
      </w:r>
      <w:r>
        <w:rPr>
          <w:sz w:val="24"/>
        </w:rPr>
        <w:t>assunto</w:t>
      </w:r>
      <w:r>
        <w:rPr>
          <w:spacing w:val="-8"/>
          <w:sz w:val="24"/>
        </w:rPr>
        <w:t> </w:t>
      </w:r>
      <w:r>
        <w:rPr>
          <w:sz w:val="24"/>
        </w:rPr>
        <w:t>será</w:t>
      </w:r>
      <w:r>
        <w:rPr>
          <w:spacing w:val="-8"/>
          <w:sz w:val="24"/>
        </w:rPr>
        <w:t> </w:t>
      </w:r>
      <w:r>
        <w:rPr>
          <w:sz w:val="24"/>
        </w:rPr>
        <w:t>submetido</w:t>
      </w:r>
      <w:r>
        <w:rPr>
          <w:spacing w:val="-8"/>
          <w:sz w:val="24"/>
        </w:rPr>
        <w:t> </w:t>
      </w:r>
      <w:r>
        <w:rPr>
          <w:sz w:val="24"/>
        </w:rPr>
        <w:t>para análise do CONSAD em sua próxima reunião.</w:t>
      </w:r>
    </w:p>
    <w:p>
      <w:pPr>
        <w:pStyle w:val="BodyText"/>
        <w:spacing w:before="112"/>
        <w:jc w:val="both"/>
      </w:pPr>
      <w:r>
        <w:rPr/>
        <w:t>O</w:t>
      </w:r>
      <w:r>
        <w:rPr>
          <w:spacing w:val="-10"/>
        </w:rPr>
        <w:t> </w:t>
      </w:r>
      <w:r>
        <w:rPr/>
        <w:t>Conselho</w:t>
      </w:r>
      <w:r>
        <w:rPr>
          <w:spacing w:val="-10"/>
        </w:rPr>
        <w:t> </w:t>
      </w:r>
      <w:r>
        <w:rPr/>
        <w:t>acompanhará</w:t>
      </w:r>
      <w:r>
        <w:rPr>
          <w:spacing w:val="-10"/>
        </w:rPr>
        <w:t> </w:t>
      </w:r>
      <w:r>
        <w:rPr/>
        <w:t>o</w:t>
      </w:r>
      <w:r>
        <w:rPr>
          <w:spacing w:val="-9"/>
        </w:rPr>
        <w:t> </w:t>
      </w:r>
      <w:r>
        <w:rPr>
          <w:spacing w:val="-2"/>
        </w:rPr>
        <w:t>assunto.</w:t>
      </w:r>
    </w:p>
    <w:p>
      <w:pPr>
        <w:pStyle w:val="BodyText"/>
        <w:spacing w:before="235"/>
        <w:ind w:left="0"/>
      </w:pPr>
    </w:p>
    <w:p>
      <w:pPr>
        <w:pStyle w:val="Heading2"/>
        <w:numPr>
          <w:ilvl w:val="1"/>
          <w:numId w:val="1"/>
        </w:numPr>
        <w:tabs>
          <w:tab w:pos="718" w:val="left" w:leader="none"/>
        </w:tabs>
        <w:spacing w:line="240" w:lineRule="auto" w:before="0" w:after="0"/>
        <w:ind w:left="718" w:right="0" w:hanging="476"/>
        <w:jc w:val="both"/>
      </w:pPr>
      <w:r>
        <w:rPr/>
        <w:t>–</w:t>
      </w:r>
      <w:r>
        <w:rPr>
          <w:spacing w:val="-10"/>
        </w:rPr>
        <w:t> </w:t>
      </w:r>
      <w:r>
        <w:rPr/>
        <w:t>Relatório</w:t>
      </w:r>
      <w:r>
        <w:rPr>
          <w:spacing w:val="-10"/>
        </w:rPr>
        <w:t> </w:t>
      </w:r>
      <w:r>
        <w:rPr/>
        <w:t>AUDINT</w:t>
      </w:r>
      <w:r>
        <w:rPr>
          <w:spacing w:val="-10"/>
        </w:rPr>
        <w:t> </w:t>
      </w:r>
      <w:r>
        <w:rPr/>
        <w:t>nº</w:t>
      </w:r>
      <w:r>
        <w:rPr>
          <w:spacing w:val="-10"/>
        </w:rPr>
        <w:t> </w:t>
      </w:r>
      <w:r>
        <w:rPr/>
        <w:t>02/2026</w:t>
      </w:r>
      <w:r>
        <w:rPr>
          <w:spacing w:val="-10"/>
        </w:rPr>
        <w:t> </w:t>
      </w:r>
      <w:r>
        <w:rPr/>
        <w:t>-</w:t>
      </w:r>
      <w:r>
        <w:rPr>
          <w:spacing w:val="-10"/>
        </w:rPr>
        <w:t> </w:t>
      </w:r>
      <w:r>
        <w:rPr/>
        <w:t>Auditoria</w:t>
      </w:r>
      <w:r>
        <w:rPr>
          <w:spacing w:val="-10"/>
        </w:rPr>
        <w:t> </w:t>
      </w:r>
      <w:r>
        <w:rPr/>
        <w:t>de</w:t>
      </w:r>
      <w:r>
        <w:rPr>
          <w:spacing w:val="-9"/>
        </w:rPr>
        <w:t> </w:t>
      </w:r>
      <w:r>
        <w:rPr/>
        <w:t>Recursos</w:t>
      </w:r>
      <w:r>
        <w:rPr>
          <w:spacing w:val="-10"/>
        </w:rPr>
        <w:t> </w:t>
      </w:r>
      <w:r>
        <w:rPr>
          <w:spacing w:val="-2"/>
        </w:rPr>
        <w:t>Humanos</w:t>
      </w:r>
    </w:p>
    <w:p>
      <w:pPr>
        <w:pStyle w:val="BodyText"/>
        <w:spacing w:before="118"/>
        <w:ind w:right="271" w:firstLine="1406"/>
        <w:jc w:val="both"/>
      </w:pPr>
      <w:r>
        <w:rPr/>
        <w:t>O Conselho tomou conhecimento do Relatório</w:t>
      </w:r>
      <w:r>
        <w:rPr>
          <w:spacing w:val="-6"/>
        </w:rPr>
        <w:t> </w:t>
      </w:r>
      <w:r>
        <w:rPr/>
        <w:t>AUDINT nº 02/2026, que trata da</w:t>
      </w:r>
      <w:r>
        <w:rPr>
          <w:spacing w:val="-6"/>
        </w:rPr>
        <w:t> </w:t>
      </w:r>
      <w:r>
        <w:rPr/>
        <w:t>Auditoria de Recursos Humanos.</w:t>
      </w:r>
    </w:p>
    <w:p>
      <w:pPr>
        <w:pStyle w:val="BodyText"/>
        <w:spacing w:before="116"/>
        <w:ind w:right="241" w:firstLine="1406"/>
        <w:jc w:val="both"/>
      </w:pPr>
      <w:r>
        <w:rPr/>
        <w:t>O Conselho recomenda à Diretoria a adoção das providências necessárias para o atendimento</w:t>
      </w:r>
      <w:r>
        <w:rPr>
          <w:spacing w:val="-3"/>
        </w:rPr>
        <w:t> </w:t>
      </w:r>
      <w:r>
        <w:rPr/>
        <w:t>dos</w:t>
      </w:r>
      <w:r>
        <w:rPr>
          <w:spacing w:val="-3"/>
        </w:rPr>
        <w:t> </w:t>
      </w:r>
      <w:r>
        <w:rPr/>
        <w:t>apontamentos</w:t>
      </w:r>
      <w:r>
        <w:rPr>
          <w:spacing w:val="-3"/>
        </w:rPr>
        <w:t> </w:t>
      </w:r>
      <w:r>
        <w:rPr/>
        <w:t>constantes</w:t>
      </w:r>
      <w:r>
        <w:rPr>
          <w:spacing w:val="-3"/>
        </w:rPr>
        <w:t> </w:t>
      </w:r>
      <w:r>
        <w:rPr/>
        <w:t>do</w:t>
      </w:r>
      <w:r>
        <w:rPr>
          <w:spacing w:val="-3"/>
        </w:rPr>
        <w:t> </w:t>
      </w:r>
      <w:r>
        <w:rPr/>
        <w:t>relatório,</w:t>
      </w:r>
      <w:r>
        <w:rPr>
          <w:spacing w:val="-3"/>
        </w:rPr>
        <w:t> </w:t>
      </w:r>
      <w:r>
        <w:rPr/>
        <w:t>com</w:t>
      </w:r>
      <w:r>
        <w:rPr>
          <w:spacing w:val="-3"/>
        </w:rPr>
        <w:t> </w:t>
      </w:r>
      <w:r>
        <w:rPr/>
        <w:t>prioridade</w:t>
      </w:r>
      <w:r>
        <w:rPr>
          <w:spacing w:val="-3"/>
        </w:rPr>
        <w:t> </w:t>
      </w:r>
      <w:r>
        <w:rPr/>
        <w:t>para</w:t>
      </w:r>
      <w:r>
        <w:rPr>
          <w:spacing w:val="-3"/>
        </w:rPr>
        <w:t> </w:t>
      </w:r>
      <w:r>
        <w:rPr/>
        <w:t>aquelas</w:t>
      </w:r>
      <w:r>
        <w:rPr>
          <w:spacing w:val="-3"/>
        </w:rPr>
        <w:t> </w:t>
      </w:r>
      <w:r>
        <w:rPr/>
        <w:t>classificadas</w:t>
      </w:r>
      <w:r>
        <w:rPr>
          <w:spacing w:val="-3"/>
        </w:rPr>
        <w:t> </w:t>
      </w:r>
      <w:r>
        <w:rPr/>
        <w:t>com</w:t>
      </w:r>
      <w:r>
        <w:rPr>
          <w:spacing w:val="-3"/>
        </w:rPr>
        <w:t> </w:t>
      </w:r>
      <w:r>
        <w:rPr/>
        <w:t>grau de criticidade alto.</w:t>
      </w:r>
    </w:p>
    <w:p>
      <w:pPr>
        <w:pStyle w:val="BodyText"/>
        <w:spacing w:before="231"/>
        <w:ind w:left="0"/>
      </w:pPr>
    </w:p>
    <w:p>
      <w:pPr>
        <w:pStyle w:val="Heading2"/>
        <w:numPr>
          <w:ilvl w:val="1"/>
          <w:numId w:val="1"/>
        </w:numPr>
        <w:tabs>
          <w:tab w:pos="718" w:val="left" w:leader="none"/>
        </w:tabs>
        <w:spacing w:line="240" w:lineRule="auto" w:before="0" w:after="0"/>
        <w:ind w:left="718" w:right="0" w:hanging="476"/>
        <w:jc w:val="both"/>
      </w:pPr>
      <w:r>
        <w:rPr/>
        <w:t>-</w:t>
      </w:r>
      <w:r>
        <w:rPr>
          <w:spacing w:val="-8"/>
        </w:rPr>
        <w:t> </w:t>
      </w:r>
      <w:r>
        <w:rPr/>
        <w:t>Relatório</w:t>
      </w:r>
      <w:r>
        <w:rPr>
          <w:spacing w:val="-8"/>
        </w:rPr>
        <w:t> </w:t>
      </w:r>
      <w:r>
        <w:rPr/>
        <w:t>de</w:t>
      </w:r>
      <w:r>
        <w:rPr>
          <w:spacing w:val="-7"/>
        </w:rPr>
        <w:t> </w:t>
      </w:r>
      <w:r>
        <w:rPr>
          <w:spacing w:val="-2"/>
        </w:rPr>
        <w:t>Contratos</w:t>
      </w:r>
    </w:p>
    <w:p>
      <w:pPr>
        <w:pStyle w:val="BodyText"/>
        <w:spacing w:before="118"/>
        <w:ind w:right="246" w:firstLine="1406"/>
        <w:jc w:val="both"/>
      </w:pPr>
      <w:r>
        <w:rPr/>
        <w:t>O Conselho recebeu o relatório de contratos, atualizado até o dia 21/07/2026, contendo as informações solicitadas.</w:t>
      </w:r>
    </w:p>
    <w:p>
      <w:pPr>
        <w:pStyle w:val="BodyText"/>
        <w:spacing w:after="0"/>
        <w:jc w:val="both"/>
        <w:sectPr>
          <w:pgSz w:w="11900" w:h="16840"/>
          <w:pgMar w:header="0" w:footer="181" w:top="500" w:bottom="380" w:left="566" w:right="566"/>
        </w:sectPr>
      </w:pPr>
    </w:p>
    <w:p>
      <w:pPr>
        <w:pStyle w:val="Heading1"/>
        <w:numPr>
          <w:ilvl w:val="0"/>
          <w:numId w:val="1"/>
        </w:numPr>
        <w:tabs>
          <w:tab w:pos="479" w:val="left" w:leader="none"/>
        </w:tabs>
        <w:spacing w:line="240" w:lineRule="auto" w:before="74" w:after="0"/>
        <w:ind w:left="479" w:right="0" w:hanging="237"/>
        <w:jc w:val="left"/>
      </w:pPr>
      <w:r>
        <w:rPr>
          <w:spacing w:val="-2"/>
        </w:rPr>
        <w:t>ASSUNTOS</w:t>
      </w:r>
      <w:r>
        <w:rPr>
          <w:spacing w:val="-5"/>
        </w:rPr>
        <w:t> </w:t>
      </w:r>
      <w:r>
        <w:rPr>
          <w:spacing w:val="-2"/>
        </w:rPr>
        <w:t>DIVERSOS</w:t>
      </w:r>
    </w:p>
    <w:p>
      <w:pPr>
        <w:pStyle w:val="Heading2"/>
        <w:numPr>
          <w:ilvl w:val="1"/>
          <w:numId w:val="1"/>
        </w:numPr>
        <w:tabs>
          <w:tab w:pos="599" w:val="left" w:leader="none"/>
        </w:tabs>
        <w:spacing w:line="240" w:lineRule="auto" w:before="117" w:after="0"/>
        <w:ind w:left="599" w:right="0" w:hanging="357"/>
        <w:jc w:val="left"/>
      </w:pPr>
      <w:r>
        <w:rPr/>
        <w:t>-</w:t>
      </w:r>
      <w:r>
        <w:rPr>
          <w:spacing w:val="-14"/>
        </w:rPr>
        <w:t> </w:t>
      </w:r>
      <w:r>
        <w:rPr/>
        <w:t>Ressarcimento</w:t>
      </w:r>
      <w:r>
        <w:rPr>
          <w:spacing w:val="-13"/>
        </w:rPr>
        <w:t> </w:t>
      </w:r>
      <w:r>
        <w:rPr/>
        <w:t>de</w:t>
      </w:r>
      <w:r>
        <w:rPr>
          <w:spacing w:val="-13"/>
        </w:rPr>
        <w:t> </w:t>
      </w:r>
      <w:r>
        <w:rPr/>
        <w:t>empregados</w:t>
      </w:r>
      <w:r>
        <w:rPr>
          <w:spacing w:val="-13"/>
        </w:rPr>
        <w:t> </w:t>
      </w:r>
      <w:r>
        <w:rPr>
          <w:spacing w:val="-2"/>
        </w:rPr>
        <w:t>cedidos</w:t>
      </w:r>
    </w:p>
    <w:p>
      <w:pPr>
        <w:pStyle w:val="BodyText"/>
        <w:spacing w:before="118"/>
        <w:ind w:firstLine="1406"/>
      </w:pPr>
      <w:r>
        <w:rPr/>
        <w:t>O Conselho recebeu as informações referentes ao ressarcimento de empregado cedido com posição de junho de 2026.</w:t>
      </w:r>
    </w:p>
    <w:p>
      <w:pPr>
        <w:pStyle w:val="BodyText"/>
        <w:spacing w:before="233"/>
        <w:ind w:left="0"/>
      </w:pPr>
    </w:p>
    <w:p>
      <w:pPr>
        <w:pStyle w:val="Heading2"/>
        <w:numPr>
          <w:ilvl w:val="1"/>
          <w:numId w:val="1"/>
        </w:numPr>
        <w:tabs>
          <w:tab w:pos="599" w:val="left" w:leader="none"/>
        </w:tabs>
        <w:spacing w:line="240" w:lineRule="auto" w:before="0" w:after="0"/>
        <w:ind w:left="599" w:right="0" w:hanging="357"/>
        <w:jc w:val="left"/>
      </w:pPr>
      <w:r>
        <w:rPr/>
        <w:t>-</w:t>
      </w:r>
      <w:r>
        <w:rPr>
          <w:spacing w:val="-8"/>
        </w:rPr>
        <w:t> </w:t>
      </w:r>
      <w:r>
        <w:rPr/>
        <w:t>Receitas</w:t>
      </w:r>
      <w:r>
        <w:rPr>
          <w:spacing w:val="-8"/>
        </w:rPr>
        <w:t> </w:t>
      </w:r>
      <w:r>
        <w:rPr/>
        <w:t>e</w:t>
      </w:r>
      <w:r>
        <w:rPr>
          <w:spacing w:val="-7"/>
        </w:rPr>
        <w:t> </w:t>
      </w:r>
      <w:r>
        <w:rPr/>
        <w:t>Despesas</w:t>
      </w:r>
      <w:r>
        <w:rPr>
          <w:spacing w:val="-8"/>
        </w:rPr>
        <w:t> </w:t>
      </w:r>
      <w:r>
        <w:rPr/>
        <w:t>–</w:t>
      </w:r>
      <w:r>
        <w:rPr>
          <w:spacing w:val="-7"/>
        </w:rPr>
        <w:t> </w:t>
      </w:r>
      <w:r>
        <w:rPr>
          <w:spacing w:val="-5"/>
        </w:rPr>
        <w:t>TMP</w:t>
      </w:r>
    </w:p>
    <w:p>
      <w:pPr>
        <w:pStyle w:val="BodyText"/>
        <w:spacing w:before="117"/>
        <w:ind w:firstLine="1406"/>
      </w:pPr>
      <w:r>
        <w:rPr/>
        <w:t>O Conselho recebeu planilha contendo as receitas e as despesas do Terminal Marítimo de</w:t>
      </w:r>
      <w:r>
        <w:rPr>
          <w:spacing w:val="40"/>
        </w:rPr>
        <w:t> </w:t>
      </w:r>
      <w:r>
        <w:rPr/>
        <w:t>Passageiros – TMP referente ao mês de junho de 2026.</w:t>
      </w:r>
    </w:p>
    <w:p>
      <w:pPr>
        <w:pStyle w:val="BodyText"/>
        <w:spacing w:before="234"/>
        <w:ind w:left="0"/>
      </w:pPr>
    </w:p>
    <w:p>
      <w:pPr>
        <w:pStyle w:val="Heading2"/>
        <w:numPr>
          <w:ilvl w:val="1"/>
          <w:numId w:val="1"/>
        </w:numPr>
        <w:tabs>
          <w:tab w:pos="599" w:val="left" w:leader="none"/>
        </w:tabs>
        <w:spacing w:line="240" w:lineRule="auto" w:before="0" w:after="0"/>
        <w:ind w:left="599" w:right="0" w:hanging="357"/>
        <w:jc w:val="left"/>
      </w:pPr>
      <w:r>
        <w:rPr/>
        <w:t>-</w:t>
      </w:r>
      <w:r>
        <w:rPr>
          <w:spacing w:val="-11"/>
        </w:rPr>
        <w:t> </w:t>
      </w:r>
      <w:r>
        <w:rPr/>
        <w:t>Provisionamento</w:t>
      </w:r>
      <w:r>
        <w:rPr>
          <w:spacing w:val="-10"/>
        </w:rPr>
        <w:t> </w:t>
      </w:r>
      <w:r>
        <w:rPr/>
        <w:t>de</w:t>
      </w:r>
      <w:r>
        <w:rPr>
          <w:spacing w:val="-11"/>
        </w:rPr>
        <w:t> </w:t>
      </w:r>
      <w:r>
        <w:rPr/>
        <w:t>ações</w:t>
      </w:r>
      <w:r>
        <w:rPr>
          <w:spacing w:val="-10"/>
        </w:rPr>
        <w:t> </w:t>
      </w:r>
      <w:r>
        <w:rPr/>
        <w:t>judiciais</w:t>
      </w:r>
      <w:r>
        <w:rPr>
          <w:spacing w:val="-11"/>
        </w:rPr>
        <w:t> </w:t>
      </w:r>
      <w:r>
        <w:rPr/>
        <w:t>referente</w:t>
      </w:r>
      <w:r>
        <w:rPr>
          <w:spacing w:val="-10"/>
        </w:rPr>
        <w:t> </w:t>
      </w:r>
      <w:r>
        <w:rPr/>
        <w:t>ao</w:t>
      </w:r>
      <w:r>
        <w:rPr>
          <w:spacing w:val="-11"/>
        </w:rPr>
        <w:t> </w:t>
      </w:r>
      <w:r>
        <w:rPr/>
        <w:t>2º</w:t>
      </w:r>
      <w:r>
        <w:rPr>
          <w:spacing w:val="-10"/>
        </w:rPr>
        <w:t> </w:t>
      </w:r>
      <w:r>
        <w:rPr/>
        <w:t>trimestre</w:t>
      </w:r>
      <w:r>
        <w:rPr>
          <w:spacing w:val="-11"/>
        </w:rPr>
        <w:t> </w:t>
      </w:r>
      <w:r>
        <w:rPr/>
        <w:t>/</w:t>
      </w:r>
      <w:r>
        <w:rPr>
          <w:spacing w:val="-10"/>
        </w:rPr>
        <w:t> </w:t>
      </w:r>
      <w:r>
        <w:rPr>
          <w:spacing w:val="-4"/>
        </w:rPr>
        <w:t>2026</w:t>
      </w:r>
    </w:p>
    <w:p>
      <w:pPr>
        <w:pStyle w:val="BodyText"/>
        <w:spacing w:before="117"/>
        <w:ind w:right="245" w:firstLine="1406"/>
      </w:pPr>
      <w:r>
        <w:rPr/>
        <w:t>O Conselho recebeu os relatórios sobre o provisionamento de ações judiciais, referentes ao 2º trimestre/2026, composto por Ações Cíveis Estaduais e Federais e Ações Trabalhistas.</w:t>
      </w:r>
    </w:p>
    <w:p>
      <w:pPr>
        <w:pStyle w:val="BodyText"/>
        <w:spacing w:before="233"/>
        <w:ind w:left="0"/>
      </w:pPr>
    </w:p>
    <w:p>
      <w:pPr>
        <w:pStyle w:val="Heading2"/>
        <w:numPr>
          <w:ilvl w:val="1"/>
          <w:numId w:val="1"/>
        </w:numPr>
        <w:tabs>
          <w:tab w:pos="599" w:val="left" w:leader="none"/>
        </w:tabs>
        <w:spacing w:line="240" w:lineRule="auto" w:before="1" w:after="0"/>
        <w:ind w:left="599" w:right="0" w:hanging="357"/>
        <w:jc w:val="left"/>
      </w:pPr>
      <w:r>
        <w:rPr/>
        <w:t>-</w:t>
      </w:r>
      <w:r>
        <w:rPr>
          <w:spacing w:val="-8"/>
        </w:rPr>
        <w:t> </w:t>
      </w:r>
      <w:r>
        <w:rPr/>
        <w:t>Resultado</w:t>
      </w:r>
      <w:r>
        <w:rPr>
          <w:spacing w:val="-8"/>
        </w:rPr>
        <w:t> </w:t>
      </w:r>
      <w:r>
        <w:rPr/>
        <w:t>das</w:t>
      </w:r>
      <w:r>
        <w:rPr>
          <w:spacing w:val="-7"/>
        </w:rPr>
        <w:t> </w:t>
      </w:r>
      <w:r>
        <w:rPr/>
        <w:t>metas</w:t>
      </w:r>
      <w:r>
        <w:rPr>
          <w:spacing w:val="-8"/>
        </w:rPr>
        <w:t> </w:t>
      </w:r>
      <w:r>
        <w:rPr/>
        <w:t>de</w:t>
      </w:r>
      <w:r>
        <w:rPr>
          <w:spacing w:val="-7"/>
        </w:rPr>
        <w:t> </w:t>
      </w:r>
      <w:r>
        <w:rPr/>
        <w:t>gestão</w:t>
      </w:r>
      <w:r>
        <w:rPr>
          <w:spacing w:val="-8"/>
        </w:rPr>
        <w:t> </w:t>
      </w:r>
      <w:r>
        <w:rPr/>
        <w:t>–</w:t>
      </w:r>
      <w:r>
        <w:rPr>
          <w:spacing w:val="-7"/>
        </w:rPr>
        <w:t> </w:t>
      </w:r>
      <w:r>
        <w:rPr/>
        <w:t>1º</w:t>
      </w:r>
      <w:r>
        <w:rPr>
          <w:spacing w:val="-8"/>
        </w:rPr>
        <w:t> </w:t>
      </w:r>
      <w:r>
        <w:rPr/>
        <w:t>trimestre</w:t>
      </w:r>
      <w:r>
        <w:rPr>
          <w:spacing w:val="-8"/>
        </w:rPr>
        <w:t> </w:t>
      </w:r>
      <w:r>
        <w:rPr/>
        <w:t>/</w:t>
      </w:r>
      <w:r>
        <w:rPr>
          <w:spacing w:val="-7"/>
        </w:rPr>
        <w:t> </w:t>
      </w:r>
      <w:r>
        <w:rPr>
          <w:spacing w:val="-4"/>
        </w:rPr>
        <w:t>2026</w:t>
      </w:r>
    </w:p>
    <w:p>
      <w:pPr>
        <w:pStyle w:val="BodyText"/>
        <w:spacing w:before="117"/>
        <w:ind w:firstLine="1406"/>
      </w:pPr>
      <w:r>
        <w:rPr/>
        <w:t>O</w:t>
      </w:r>
      <w:r>
        <w:rPr>
          <w:spacing w:val="68"/>
        </w:rPr>
        <w:t> </w:t>
      </w:r>
      <w:r>
        <w:rPr/>
        <w:t>Conselho</w:t>
      </w:r>
      <w:r>
        <w:rPr>
          <w:spacing w:val="68"/>
        </w:rPr>
        <w:t> </w:t>
      </w:r>
      <w:r>
        <w:rPr/>
        <w:t>recebeu</w:t>
      </w:r>
      <w:r>
        <w:rPr>
          <w:spacing w:val="68"/>
        </w:rPr>
        <w:t> </w:t>
      </w:r>
      <w:r>
        <w:rPr/>
        <w:t>o</w:t>
      </w:r>
      <w:r>
        <w:rPr>
          <w:spacing w:val="69"/>
        </w:rPr>
        <w:t> </w:t>
      </w:r>
      <w:r>
        <w:rPr/>
        <w:t>relatório</w:t>
      </w:r>
      <w:r>
        <w:rPr>
          <w:spacing w:val="70"/>
        </w:rPr>
        <w:t> </w:t>
      </w:r>
      <w:r>
        <w:rPr/>
        <w:t>contendo</w:t>
      </w:r>
      <w:r>
        <w:rPr>
          <w:spacing w:val="70"/>
        </w:rPr>
        <w:t> </w:t>
      </w:r>
      <w:r>
        <w:rPr/>
        <w:t>os</w:t>
      </w:r>
      <w:r>
        <w:rPr>
          <w:spacing w:val="70"/>
        </w:rPr>
        <w:t> </w:t>
      </w:r>
      <w:r>
        <w:rPr/>
        <w:t>resultados</w:t>
      </w:r>
      <w:r>
        <w:rPr>
          <w:spacing w:val="70"/>
        </w:rPr>
        <w:t> </w:t>
      </w:r>
      <w:r>
        <w:rPr/>
        <w:t>das</w:t>
      </w:r>
      <w:r>
        <w:rPr>
          <w:spacing w:val="70"/>
        </w:rPr>
        <w:t> </w:t>
      </w:r>
      <w:r>
        <w:rPr/>
        <w:t>análises</w:t>
      </w:r>
      <w:r>
        <w:rPr>
          <w:spacing w:val="70"/>
        </w:rPr>
        <w:t> </w:t>
      </w:r>
      <w:r>
        <w:rPr/>
        <w:t>de</w:t>
      </w:r>
      <w:r>
        <w:rPr>
          <w:spacing w:val="70"/>
        </w:rPr>
        <w:t> </w:t>
      </w:r>
      <w:r>
        <w:rPr/>
        <w:t>avaliação</w:t>
      </w:r>
      <w:r>
        <w:rPr>
          <w:spacing w:val="70"/>
        </w:rPr>
        <w:t> </w:t>
      </w:r>
      <w:r>
        <w:rPr/>
        <w:t>do cumprimento das Metas de Gestão referentes aos 1º trimestre/2026.</w:t>
      </w:r>
    </w:p>
    <w:p>
      <w:pPr>
        <w:pStyle w:val="BodyText"/>
        <w:spacing w:before="233"/>
        <w:ind w:left="0"/>
      </w:pPr>
    </w:p>
    <w:p>
      <w:pPr>
        <w:pStyle w:val="Heading2"/>
        <w:numPr>
          <w:ilvl w:val="1"/>
          <w:numId w:val="1"/>
        </w:numPr>
        <w:tabs>
          <w:tab w:pos="599" w:val="left" w:leader="none"/>
        </w:tabs>
        <w:spacing w:line="240" w:lineRule="auto" w:before="0" w:after="0"/>
        <w:ind w:left="599" w:right="0" w:hanging="357"/>
        <w:jc w:val="left"/>
      </w:pPr>
      <w:r>
        <w:rPr/>
        <w:t>-</w:t>
      </w:r>
      <w:r>
        <w:rPr>
          <w:spacing w:val="-11"/>
        </w:rPr>
        <w:t> </w:t>
      </w:r>
      <w:r>
        <w:rPr/>
        <w:t>Adiantamento</w:t>
      </w:r>
      <w:r>
        <w:rPr>
          <w:spacing w:val="-10"/>
        </w:rPr>
        <w:t> </w:t>
      </w:r>
      <w:r>
        <w:rPr/>
        <w:t>para</w:t>
      </w:r>
      <w:r>
        <w:rPr>
          <w:spacing w:val="-11"/>
        </w:rPr>
        <w:t> </w:t>
      </w:r>
      <w:r>
        <w:rPr/>
        <w:t>Futuro</w:t>
      </w:r>
      <w:r>
        <w:rPr>
          <w:spacing w:val="-10"/>
        </w:rPr>
        <w:t> </w:t>
      </w:r>
      <w:r>
        <w:rPr/>
        <w:t>Aumento</w:t>
      </w:r>
      <w:r>
        <w:rPr>
          <w:spacing w:val="-10"/>
        </w:rPr>
        <w:t> </w:t>
      </w:r>
      <w:r>
        <w:rPr/>
        <w:t>de</w:t>
      </w:r>
      <w:r>
        <w:rPr>
          <w:spacing w:val="-11"/>
        </w:rPr>
        <w:t> </w:t>
      </w:r>
      <w:r>
        <w:rPr/>
        <w:t>Capital</w:t>
      </w:r>
      <w:r>
        <w:rPr>
          <w:spacing w:val="-10"/>
        </w:rPr>
        <w:t> </w:t>
      </w:r>
      <w:r>
        <w:rPr/>
        <w:t>-</w:t>
      </w:r>
      <w:r>
        <w:rPr>
          <w:spacing w:val="-10"/>
        </w:rPr>
        <w:t> </w:t>
      </w:r>
      <w:r>
        <w:rPr>
          <w:spacing w:val="-4"/>
        </w:rPr>
        <w:t>AFAC</w:t>
      </w:r>
    </w:p>
    <w:p>
      <w:pPr>
        <w:pStyle w:val="BodyText"/>
        <w:spacing w:before="118"/>
        <w:ind w:left="1649"/>
      </w:pPr>
      <w:r>
        <w:rPr/>
        <w:t>O</w:t>
      </w:r>
      <w:r>
        <w:rPr>
          <w:spacing w:val="53"/>
        </w:rPr>
        <w:t> </w:t>
      </w:r>
      <w:r>
        <w:rPr/>
        <w:t>Conselho</w:t>
      </w:r>
      <w:r>
        <w:rPr>
          <w:spacing w:val="53"/>
        </w:rPr>
        <w:t> </w:t>
      </w:r>
      <w:r>
        <w:rPr/>
        <w:t>recebeu</w:t>
      </w:r>
      <w:r>
        <w:rPr>
          <w:spacing w:val="53"/>
        </w:rPr>
        <w:t> </w:t>
      </w:r>
      <w:r>
        <w:rPr/>
        <w:t>informações</w:t>
      </w:r>
      <w:r>
        <w:rPr>
          <w:spacing w:val="53"/>
        </w:rPr>
        <w:t> </w:t>
      </w:r>
      <w:r>
        <w:rPr/>
        <w:t>quanto</w:t>
      </w:r>
      <w:r>
        <w:rPr>
          <w:spacing w:val="53"/>
        </w:rPr>
        <w:t> </w:t>
      </w:r>
      <w:r>
        <w:rPr/>
        <w:t>ao</w:t>
      </w:r>
      <w:r>
        <w:rPr>
          <w:spacing w:val="53"/>
        </w:rPr>
        <w:t> </w:t>
      </w:r>
      <w:r>
        <w:rPr/>
        <w:t>acompanhamento</w:t>
      </w:r>
      <w:r>
        <w:rPr>
          <w:spacing w:val="53"/>
        </w:rPr>
        <w:t> </w:t>
      </w:r>
      <w:r>
        <w:rPr/>
        <w:t>dos</w:t>
      </w:r>
      <w:r>
        <w:rPr>
          <w:spacing w:val="53"/>
        </w:rPr>
        <w:t> </w:t>
      </w:r>
      <w:r>
        <w:rPr/>
        <w:t>recursos</w:t>
      </w:r>
      <w:r>
        <w:rPr>
          <w:spacing w:val="53"/>
        </w:rPr>
        <w:t> </w:t>
      </w:r>
      <w:r>
        <w:rPr/>
        <w:t>a</w:t>
      </w:r>
      <w:r>
        <w:rPr>
          <w:spacing w:val="53"/>
        </w:rPr>
        <w:t> </w:t>
      </w:r>
      <w:r>
        <w:rPr/>
        <w:t>título</w:t>
      </w:r>
      <w:r>
        <w:rPr>
          <w:spacing w:val="53"/>
        </w:rPr>
        <w:t> </w:t>
      </w:r>
      <w:r>
        <w:rPr>
          <w:spacing w:val="-5"/>
        </w:rPr>
        <w:t>de</w:t>
      </w:r>
    </w:p>
    <w:p>
      <w:pPr>
        <w:pStyle w:val="BodyText"/>
        <w:spacing w:line="274" w:lineRule="exact"/>
      </w:pPr>
      <w:r>
        <w:rPr>
          <w:spacing w:val="-2"/>
        </w:rPr>
        <w:t>AFAC.</w:t>
      </w:r>
    </w:p>
    <w:p>
      <w:pPr>
        <w:pStyle w:val="BodyText"/>
        <w:spacing w:before="117"/>
        <w:ind w:left="1649"/>
      </w:pPr>
      <w:r>
        <w:rPr/>
        <w:t>O</w:t>
      </w:r>
      <w:r>
        <w:rPr>
          <w:spacing w:val="16"/>
        </w:rPr>
        <w:t> </w:t>
      </w:r>
      <w:r>
        <w:rPr/>
        <w:t>Conselho</w:t>
      </w:r>
      <w:r>
        <w:rPr>
          <w:spacing w:val="16"/>
        </w:rPr>
        <w:t> </w:t>
      </w:r>
      <w:r>
        <w:rPr/>
        <w:t>solicitou</w:t>
      </w:r>
      <w:r>
        <w:rPr>
          <w:spacing w:val="17"/>
        </w:rPr>
        <w:t> </w:t>
      </w:r>
      <w:r>
        <w:rPr/>
        <w:t>a</w:t>
      </w:r>
      <w:r>
        <w:rPr>
          <w:spacing w:val="16"/>
        </w:rPr>
        <w:t> </w:t>
      </w:r>
      <w:r>
        <w:rPr/>
        <w:t>presença</w:t>
      </w:r>
      <w:r>
        <w:rPr>
          <w:spacing w:val="16"/>
        </w:rPr>
        <w:t> </w:t>
      </w:r>
      <w:r>
        <w:rPr/>
        <w:t>dos</w:t>
      </w:r>
      <w:r>
        <w:rPr>
          <w:spacing w:val="17"/>
        </w:rPr>
        <w:t> </w:t>
      </w:r>
      <w:r>
        <w:rPr/>
        <w:t>responsáveis</w:t>
      </w:r>
      <w:r>
        <w:rPr>
          <w:spacing w:val="16"/>
        </w:rPr>
        <w:t> </w:t>
      </w:r>
      <w:r>
        <w:rPr/>
        <w:t>pelas</w:t>
      </w:r>
      <w:r>
        <w:rPr>
          <w:spacing w:val="17"/>
        </w:rPr>
        <w:t> </w:t>
      </w:r>
      <w:r>
        <w:rPr/>
        <w:t>informações</w:t>
      </w:r>
      <w:r>
        <w:rPr>
          <w:spacing w:val="16"/>
        </w:rPr>
        <w:t> </w:t>
      </w:r>
      <w:r>
        <w:rPr/>
        <w:t>encaminhadas.</w:t>
      </w:r>
      <w:r>
        <w:rPr>
          <w:spacing w:val="16"/>
        </w:rPr>
        <w:t> </w:t>
      </w:r>
      <w:r>
        <w:rPr/>
        <w:t>O</w:t>
      </w:r>
      <w:r>
        <w:rPr>
          <w:spacing w:val="17"/>
        </w:rPr>
        <w:t> </w:t>
      </w:r>
      <w:r>
        <w:rPr>
          <w:spacing w:val="-5"/>
        </w:rPr>
        <w:t>Sr.</w:t>
      </w:r>
    </w:p>
    <w:p>
      <w:pPr>
        <w:pStyle w:val="BodyText"/>
        <w:ind w:right="254"/>
        <w:jc w:val="both"/>
      </w:pPr>
      <w:r>
        <w:rPr/>
        <w:t>José Evandro de Goes, Coordenador de Planejamento Estratégico (CODPLA), e o Sr. Cândido Oliveira, representante da CODPLA, compareceram à reunião e prestaram os devidos esclarecimentos.</w:t>
      </w:r>
    </w:p>
    <w:p>
      <w:pPr>
        <w:pStyle w:val="BodyText"/>
        <w:spacing w:before="114"/>
        <w:ind w:right="243" w:firstLine="1406"/>
        <w:jc w:val="both"/>
      </w:pPr>
      <w:r>
        <w:rPr/>
        <w:t>O Conselho solicitou que as informações sejam atualizadas no próximo relatório trimestral sobre a matéria em conformidade com o que foi discutido durante a reunião, dando-se ênfase à atualização do quadro.</w:t>
      </w:r>
    </w:p>
    <w:p>
      <w:pPr>
        <w:spacing w:line="268" w:lineRule="auto" w:before="114"/>
        <w:ind w:left="242" w:right="249" w:firstLine="1406"/>
        <w:jc w:val="both"/>
        <w:rPr>
          <w:rFonts w:ascii="Arial MT" w:hAnsi="Arial MT"/>
          <w:sz w:val="21"/>
        </w:rPr>
      </w:pPr>
      <w:r>
        <w:rPr>
          <w:sz w:val="24"/>
        </w:rPr>
        <w:t>O Colegiado requereu, ainda, que</w:t>
      </w:r>
      <w:r>
        <w:rPr>
          <w:spacing w:val="-6"/>
          <w:sz w:val="24"/>
        </w:rPr>
        <w:t> </w:t>
      </w:r>
      <w:r>
        <w:rPr>
          <w:rFonts w:ascii="Arial MT" w:hAnsi="Arial MT"/>
          <w:sz w:val="21"/>
        </w:rPr>
        <w:t>a Administração da Companhia priorize o atendimento da ação de "Gerenciamento do Programa de Conformidade de Resíduos Sólidos e Efluentes Líquidos", considerando</w:t>
      </w:r>
      <w:r>
        <w:rPr>
          <w:rFonts w:ascii="Arial MT" w:hAnsi="Arial MT"/>
          <w:spacing w:val="40"/>
          <w:sz w:val="21"/>
        </w:rPr>
        <w:t> </w:t>
      </w:r>
      <w:r>
        <w:rPr>
          <w:rFonts w:ascii="Arial MT" w:hAnsi="Arial MT"/>
          <w:sz w:val="21"/>
        </w:rPr>
        <w:t>que</w:t>
      </w:r>
      <w:r>
        <w:rPr>
          <w:rFonts w:ascii="Arial MT" w:hAnsi="Arial MT"/>
          <w:spacing w:val="40"/>
          <w:sz w:val="21"/>
        </w:rPr>
        <w:t> </w:t>
      </w:r>
      <w:r>
        <w:rPr>
          <w:rFonts w:ascii="Arial MT" w:hAnsi="Arial MT"/>
          <w:sz w:val="21"/>
        </w:rPr>
        <w:t>a</w:t>
      </w:r>
      <w:r>
        <w:rPr>
          <w:rFonts w:ascii="Arial MT" w:hAnsi="Arial MT"/>
          <w:spacing w:val="40"/>
          <w:sz w:val="21"/>
        </w:rPr>
        <w:t> </w:t>
      </w:r>
      <w:r>
        <w:rPr>
          <w:rFonts w:ascii="Arial MT" w:hAnsi="Arial MT"/>
          <w:sz w:val="21"/>
        </w:rPr>
        <w:t>Companhia</w:t>
      </w:r>
      <w:r>
        <w:rPr>
          <w:rFonts w:ascii="Arial MT" w:hAnsi="Arial MT"/>
          <w:spacing w:val="40"/>
          <w:sz w:val="21"/>
        </w:rPr>
        <w:t> </w:t>
      </w:r>
      <w:r>
        <w:rPr>
          <w:rFonts w:ascii="Arial MT" w:hAnsi="Arial MT"/>
          <w:sz w:val="21"/>
        </w:rPr>
        <w:t>recebeu</w:t>
      </w:r>
      <w:r>
        <w:rPr>
          <w:rFonts w:ascii="Arial MT" w:hAnsi="Arial MT"/>
          <w:spacing w:val="40"/>
          <w:sz w:val="21"/>
        </w:rPr>
        <w:t> </w:t>
      </w:r>
      <w:r>
        <w:rPr>
          <w:rFonts w:ascii="Arial MT" w:hAnsi="Arial MT"/>
          <w:sz w:val="21"/>
        </w:rPr>
        <w:t>aporte</w:t>
      </w:r>
      <w:r>
        <w:rPr>
          <w:rFonts w:ascii="Arial MT" w:hAnsi="Arial MT"/>
          <w:spacing w:val="40"/>
          <w:sz w:val="21"/>
        </w:rPr>
        <w:t> </w:t>
      </w:r>
      <w:r>
        <w:rPr>
          <w:rFonts w:ascii="Arial MT" w:hAnsi="Arial MT"/>
          <w:sz w:val="21"/>
        </w:rPr>
        <w:t>de</w:t>
      </w:r>
      <w:r>
        <w:rPr>
          <w:rFonts w:ascii="Arial MT" w:hAnsi="Arial MT"/>
          <w:spacing w:val="40"/>
          <w:sz w:val="21"/>
        </w:rPr>
        <w:t> </w:t>
      </w:r>
      <w:r>
        <w:rPr>
          <w:rFonts w:ascii="Arial MT" w:hAnsi="Arial MT"/>
          <w:sz w:val="21"/>
        </w:rPr>
        <w:t>mais</w:t>
      </w:r>
      <w:r>
        <w:rPr>
          <w:rFonts w:ascii="Arial MT" w:hAnsi="Arial MT"/>
          <w:spacing w:val="40"/>
          <w:sz w:val="21"/>
        </w:rPr>
        <w:t> </w:t>
      </w:r>
      <w:r>
        <w:rPr>
          <w:rFonts w:ascii="Arial MT" w:hAnsi="Arial MT"/>
          <w:sz w:val="21"/>
        </w:rPr>
        <w:t>de</w:t>
      </w:r>
      <w:r>
        <w:rPr>
          <w:rFonts w:ascii="Arial MT" w:hAnsi="Arial MT"/>
          <w:spacing w:val="40"/>
          <w:sz w:val="21"/>
        </w:rPr>
        <w:t> </w:t>
      </w:r>
      <w:r>
        <w:rPr>
          <w:rFonts w:ascii="Arial MT" w:hAnsi="Arial MT"/>
          <w:sz w:val="21"/>
        </w:rPr>
        <w:t>um</w:t>
      </w:r>
      <w:r>
        <w:rPr>
          <w:rFonts w:ascii="Arial MT" w:hAnsi="Arial MT"/>
          <w:spacing w:val="40"/>
          <w:sz w:val="21"/>
        </w:rPr>
        <w:t> </w:t>
      </w:r>
      <w:r>
        <w:rPr>
          <w:rFonts w:ascii="Arial MT" w:hAnsi="Arial MT"/>
          <w:sz w:val="21"/>
        </w:rPr>
        <w:t>milhão</w:t>
      </w:r>
      <w:r>
        <w:rPr>
          <w:rFonts w:ascii="Arial MT" w:hAnsi="Arial MT"/>
          <w:spacing w:val="40"/>
          <w:sz w:val="21"/>
        </w:rPr>
        <w:t> </w:t>
      </w:r>
      <w:r>
        <w:rPr>
          <w:rFonts w:ascii="Arial MT" w:hAnsi="Arial MT"/>
          <w:sz w:val="21"/>
        </w:rPr>
        <w:t>de</w:t>
      </w:r>
      <w:r>
        <w:rPr>
          <w:rFonts w:ascii="Arial MT" w:hAnsi="Arial MT"/>
          <w:spacing w:val="40"/>
          <w:sz w:val="21"/>
        </w:rPr>
        <w:t> </w:t>
      </w:r>
      <w:r>
        <w:rPr>
          <w:rFonts w:ascii="Arial MT" w:hAnsi="Arial MT"/>
          <w:sz w:val="21"/>
        </w:rPr>
        <w:t>reais</w:t>
      </w:r>
      <w:r>
        <w:rPr>
          <w:rFonts w:ascii="Arial MT" w:hAnsi="Arial MT"/>
          <w:spacing w:val="40"/>
          <w:sz w:val="21"/>
        </w:rPr>
        <w:t> </w:t>
      </w:r>
      <w:r>
        <w:rPr>
          <w:rFonts w:ascii="Arial MT" w:hAnsi="Arial MT"/>
          <w:sz w:val="21"/>
        </w:rPr>
        <w:t>da</w:t>
      </w:r>
      <w:r>
        <w:rPr>
          <w:rFonts w:ascii="Arial MT" w:hAnsi="Arial MT"/>
          <w:spacing w:val="40"/>
          <w:sz w:val="21"/>
        </w:rPr>
        <w:t> </w:t>
      </w:r>
      <w:r>
        <w:rPr>
          <w:rFonts w:ascii="Arial MT" w:hAnsi="Arial MT"/>
          <w:sz w:val="21"/>
        </w:rPr>
        <w:t>União,</w:t>
      </w:r>
      <w:r>
        <w:rPr>
          <w:rFonts w:ascii="Arial MT" w:hAnsi="Arial MT"/>
          <w:spacing w:val="40"/>
          <w:sz w:val="21"/>
        </w:rPr>
        <w:t> </w:t>
      </w:r>
      <w:r>
        <w:rPr>
          <w:rFonts w:ascii="Arial MT" w:hAnsi="Arial MT"/>
          <w:sz w:val="21"/>
        </w:rPr>
        <w:t>por</w:t>
      </w:r>
      <w:r>
        <w:rPr>
          <w:rFonts w:ascii="Arial MT" w:hAnsi="Arial MT"/>
          <w:spacing w:val="40"/>
          <w:sz w:val="21"/>
        </w:rPr>
        <w:t> </w:t>
      </w:r>
      <w:r>
        <w:rPr>
          <w:rFonts w:ascii="Arial MT" w:hAnsi="Arial MT"/>
          <w:sz w:val="21"/>
        </w:rPr>
        <w:t>meio</w:t>
      </w:r>
      <w:r>
        <w:rPr>
          <w:rFonts w:ascii="Arial MT" w:hAnsi="Arial MT"/>
          <w:spacing w:val="40"/>
          <w:sz w:val="21"/>
        </w:rPr>
        <w:t> </w:t>
      </w:r>
      <w:r>
        <w:rPr>
          <w:rFonts w:ascii="Arial MT" w:hAnsi="Arial MT"/>
          <w:sz w:val="21"/>
        </w:rPr>
        <w:t>de AFAC, em 2017; sem que nenhuma medida concreta tenha sido tomada. Ademais, o Conselho convocou o Coordenador de Infraestrutura para participar da próxima reunião para tratar do assunto.</w:t>
      </w:r>
    </w:p>
    <w:p>
      <w:pPr>
        <w:pStyle w:val="BodyText"/>
        <w:ind w:left="0"/>
        <w:rPr>
          <w:rFonts w:ascii="Arial MT"/>
          <w:sz w:val="21"/>
        </w:rPr>
      </w:pPr>
    </w:p>
    <w:p>
      <w:pPr>
        <w:pStyle w:val="BodyText"/>
        <w:spacing w:before="10"/>
        <w:ind w:left="0"/>
        <w:rPr>
          <w:rFonts w:ascii="Arial MT"/>
          <w:sz w:val="21"/>
        </w:rPr>
      </w:pPr>
    </w:p>
    <w:p>
      <w:pPr>
        <w:pStyle w:val="Heading1"/>
        <w:numPr>
          <w:ilvl w:val="0"/>
          <w:numId w:val="1"/>
        </w:numPr>
        <w:tabs>
          <w:tab w:pos="479" w:val="left" w:leader="none"/>
        </w:tabs>
        <w:spacing w:line="240" w:lineRule="auto" w:before="0" w:after="0"/>
        <w:ind w:left="479" w:right="0" w:hanging="237"/>
        <w:jc w:val="both"/>
      </w:pPr>
      <w:r>
        <w:rPr>
          <w:spacing w:val="-2"/>
        </w:rPr>
        <w:t>OUTROS</w:t>
      </w:r>
      <w:r>
        <w:rPr>
          <w:spacing w:val="-5"/>
        </w:rPr>
        <w:t> </w:t>
      </w:r>
      <w:r>
        <w:rPr>
          <w:spacing w:val="-2"/>
        </w:rPr>
        <w:t>ASSUNTOS</w:t>
      </w:r>
    </w:p>
    <w:p>
      <w:pPr>
        <w:pStyle w:val="BodyText"/>
        <w:spacing w:before="235"/>
        <w:ind w:left="0"/>
        <w:rPr>
          <w:b/>
        </w:rPr>
      </w:pPr>
    </w:p>
    <w:p>
      <w:pPr>
        <w:pStyle w:val="Heading2"/>
        <w:numPr>
          <w:ilvl w:val="1"/>
          <w:numId w:val="1"/>
        </w:numPr>
        <w:tabs>
          <w:tab w:pos="599" w:val="left" w:leader="none"/>
        </w:tabs>
        <w:spacing w:line="240" w:lineRule="auto" w:before="0" w:after="0"/>
        <w:ind w:left="599" w:right="0" w:hanging="357"/>
        <w:jc w:val="both"/>
      </w:pPr>
      <w:r>
        <w:rPr/>
        <w:t>-</w:t>
      </w:r>
      <w:r>
        <w:rPr>
          <w:spacing w:val="-11"/>
        </w:rPr>
        <w:t> </w:t>
      </w:r>
      <w:r>
        <w:rPr/>
        <w:t>Contrato</w:t>
      </w:r>
      <w:r>
        <w:rPr>
          <w:spacing w:val="-10"/>
        </w:rPr>
        <w:t> </w:t>
      </w:r>
      <w:r>
        <w:rPr/>
        <w:t>de</w:t>
      </w:r>
      <w:r>
        <w:rPr>
          <w:spacing w:val="-11"/>
        </w:rPr>
        <w:t> </w:t>
      </w:r>
      <w:r>
        <w:rPr/>
        <w:t>prestação</w:t>
      </w:r>
      <w:r>
        <w:rPr>
          <w:spacing w:val="-10"/>
        </w:rPr>
        <w:t> </w:t>
      </w:r>
      <w:r>
        <w:rPr/>
        <w:t>de</w:t>
      </w:r>
      <w:r>
        <w:rPr>
          <w:spacing w:val="-11"/>
        </w:rPr>
        <w:t> </w:t>
      </w:r>
      <w:r>
        <w:rPr/>
        <w:t>serviços</w:t>
      </w:r>
      <w:r>
        <w:rPr>
          <w:spacing w:val="-10"/>
        </w:rPr>
        <w:t> </w:t>
      </w:r>
      <w:r>
        <w:rPr/>
        <w:t>de</w:t>
      </w:r>
      <w:r>
        <w:rPr>
          <w:spacing w:val="-11"/>
        </w:rPr>
        <w:t> </w:t>
      </w:r>
      <w:r>
        <w:rPr/>
        <w:t>agenciamento</w:t>
      </w:r>
      <w:r>
        <w:rPr>
          <w:spacing w:val="-10"/>
        </w:rPr>
        <w:t> </w:t>
      </w:r>
      <w:r>
        <w:rPr/>
        <w:t>de</w:t>
      </w:r>
      <w:r>
        <w:rPr>
          <w:spacing w:val="-11"/>
        </w:rPr>
        <w:t> </w:t>
      </w:r>
      <w:r>
        <w:rPr/>
        <w:t>passagens</w:t>
      </w:r>
      <w:r>
        <w:rPr>
          <w:spacing w:val="-10"/>
        </w:rPr>
        <w:t> </w:t>
      </w:r>
      <w:r>
        <w:rPr>
          <w:spacing w:val="-2"/>
        </w:rPr>
        <w:t>aéreas</w:t>
      </w:r>
    </w:p>
    <w:p>
      <w:pPr>
        <w:pStyle w:val="BodyText"/>
        <w:spacing w:before="118"/>
        <w:ind w:right="240" w:firstLine="1406"/>
        <w:jc w:val="both"/>
      </w:pPr>
      <w:r>
        <w:rPr/>
        <w:t>O Conselho solicitou a presença da responsável pelo contrato de prestação de serviços de agenciamento de passagens aéreas para prestar esclarecimentos.</w:t>
      </w:r>
      <w:r>
        <w:rPr>
          <w:spacing w:val="-3"/>
        </w:rPr>
        <w:t> </w:t>
      </w:r>
      <w:r>
        <w:rPr/>
        <w:t>A</w:t>
      </w:r>
      <w:r>
        <w:rPr>
          <w:spacing w:val="-3"/>
        </w:rPr>
        <w:t> </w:t>
      </w:r>
      <w:r>
        <w:rPr/>
        <w:t>Sra. Juliana</w:t>
      </w:r>
      <w:r>
        <w:rPr>
          <w:spacing w:val="-3"/>
        </w:rPr>
        <w:t> </w:t>
      </w:r>
      <w:r>
        <w:rPr/>
        <w:t>Alcantara Forte,</w:t>
      </w:r>
      <w:r>
        <w:rPr>
          <w:spacing w:val="-3"/>
        </w:rPr>
        <w:t> </w:t>
      </w:r>
      <w:r>
        <w:rPr/>
        <w:t>Assessora Técnica da Presidência, compareceu à reunião e prestou os esclarecimentos solicitados pelo Colegiado acerca do andamento da execução do referido contrato.</w:t>
      </w:r>
    </w:p>
    <w:p>
      <w:pPr>
        <w:pStyle w:val="BodyText"/>
        <w:spacing w:before="112"/>
        <w:ind w:right="244" w:firstLine="1406"/>
        <w:jc w:val="both"/>
      </w:pPr>
      <w:r>
        <w:rPr/>
        <w:t>O Conselho solicitou o encaminhamento de relatório de acompanhamento da execução do contrato, com periodicidade quadrimestral.</w:t>
      </w:r>
    </w:p>
    <w:p>
      <w:pPr>
        <w:pStyle w:val="BodyText"/>
        <w:spacing w:before="233"/>
        <w:ind w:left="0"/>
      </w:pPr>
    </w:p>
    <w:p>
      <w:pPr>
        <w:pStyle w:val="Heading2"/>
        <w:numPr>
          <w:ilvl w:val="1"/>
          <w:numId w:val="1"/>
        </w:numPr>
        <w:tabs>
          <w:tab w:pos="599" w:val="left" w:leader="none"/>
        </w:tabs>
        <w:spacing w:line="240" w:lineRule="auto" w:before="0" w:after="0"/>
        <w:ind w:left="599" w:right="0" w:hanging="357"/>
        <w:jc w:val="both"/>
      </w:pPr>
      <w:r>
        <w:rPr/>
        <w:t>-</w:t>
      </w:r>
      <w:r>
        <w:rPr>
          <w:spacing w:val="-9"/>
        </w:rPr>
        <w:t> </w:t>
      </w:r>
      <w:r>
        <w:rPr/>
        <w:t>Plano</w:t>
      </w:r>
      <w:r>
        <w:rPr>
          <w:spacing w:val="-8"/>
        </w:rPr>
        <w:t> </w:t>
      </w:r>
      <w:r>
        <w:rPr/>
        <w:t>de</w:t>
      </w:r>
      <w:r>
        <w:rPr>
          <w:spacing w:val="-8"/>
        </w:rPr>
        <w:t> </w:t>
      </w:r>
      <w:r>
        <w:rPr/>
        <w:t>Contratações</w:t>
      </w:r>
      <w:r>
        <w:rPr>
          <w:spacing w:val="-8"/>
        </w:rPr>
        <w:t> </w:t>
      </w:r>
      <w:r>
        <w:rPr/>
        <w:t>Anual</w:t>
      </w:r>
      <w:r>
        <w:rPr>
          <w:spacing w:val="-9"/>
        </w:rPr>
        <w:t> </w:t>
      </w:r>
      <w:r>
        <w:rPr/>
        <w:t>-</w:t>
      </w:r>
      <w:r>
        <w:rPr>
          <w:spacing w:val="-8"/>
        </w:rPr>
        <w:t> </w:t>
      </w:r>
      <w:r>
        <w:rPr/>
        <w:t>PCA</w:t>
      </w:r>
      <w:r>
        <w:rPr>
          <w:spacing w:val="-8"/>
        </w:rPr>
        <w:t> </w:t>
      </w:r>
      <w:r>
        <w:rPr>
          <w:spacing w:val="-4"/>
        </w:rPr>
        <w:t>2027</w:t>
      </w:r>
    </w:p>
    <w:p>
      <w:pPr>
        <w:pStyle w:val="BodyText"/>
        <w:spacing w:before="118"/>
        <w:ind w:left="1649"/>
      </w:pPr>
      <w:r>
        <w:rPr/>
        <w:t>O</w:t>
      </w:r>
      <w:r>
        <w:rPr>
          <w:spacing w:val="5"/>
        </w:rPr>
        <w:t> </w:t>
      </w:r>
      <w:r>
        <w:rPr/>
        <w:t>Conselho</w:t>
      </w:r>
      <w:r>
        <w:rPr>
          <w:spacing w:val="5"/>
        </w:rPr>
        <w:t> </w:t>
      </w:r>
      <w:r>
        <w:rPr/>
        <w:t>solicita</w:t>
      </w:r>
      <w:r>
        <w:rPr>
          <w:spacing w:val="5"/>
        </w:rPr>
        <w:t> </w:t>
      </w:r>
      <w:r>
        <w:rPr/>
        <w:t>informação</w:t>
      </w:r>
      <w:r>
        <w:rPr>
          <w:spacing w:val="6"/>
        </w:rPr>
        <w:t> </w:t>
      </w:r>
      <w:r>
        <w:rPr/>
        <w:t>sobre</w:t>
      </w:r>
      <w:r>
        <w:rPr>
          <w:spacing w:val="5"/>
        </w:rPr>
        <w:t> </w:t>
      </w:r>
      <w:r>
        <w:rPr/>
        <w:t>o</w:t>
      </w:r>
      <w:r>
        <w:rPr>
          <w:spacing w:val="5"/>
        </w:rPr>
        <w:t> </w:t>
      </w:r>
      <w:r>
        <w:rPr/>
        <w:t>andamento</w:t>
      </w:r>
      <w:r>
        <w:rPr>
          <w:spacing w:val="5"/>
        </w:rPr>
        <w:t> </w:t>
      </w:r>
      <w:r>
        <w:rPr/>
        <w:t>do</w:t>
      </w:r>
      <w:r>
        <w:rPr>
          <w:spacing w:val="6"/>
        </w:rPr>
        <w:t> </w:t>
      </w:r>
      <w:r>
        <w:rPr/>
        <w:t>Plano</w:t>
      </w:r>
      <w:r>
        <w:rPr>
          <w:spacing w:val="5"/>
        </w:rPr>
        <w:t> </w:t>
      </w:r>
      <w:r>
        <w:rPr/>
        <w:t>de</w:t>
      </w:r>
      <w:r>
        <w:rPr>
          <w:spacing w:val="5"/>
        </w:rPr>
        <w:t> </w:t>
      </w:r>
      <w:r>
        <w:rPr/>
        <w:t>Contratações</w:t>
      </w:r>
      <w:r>
        <w:rPr>
          <w:spacing w:val="-5"/>
        </w:rPr>
        <w:t> </w:t>
      </w:r>
      <w:r>
        <w:rPr/>
        <w:t>Anual</w:t>
      </w:r>
      <w:r>
        <w:rPr>
          <w:spacing w:val="5"/>
        </w:rPr>
        <w:t> </w:t>
      </w:r>
      <w:r>
        <w:rPr/>
        <w:t>-</w:t>
      </w:r>
      <w:r>
        <w:rPr>
          <w:spacing w:val="6"/>
        </w:rPr>
        <w:t> </w:t>
      </w:r>
      <w:r>
        <w:rPr>
          <w:spacing w:val="-5"/>
        </w:rPr>
        <w:t>PCA</w:t>
      </w:r>
    </w:p>
    <w:p>
      <w:pPr>
        <w:pStyle w:val="BodyText"/>
        <w:spacing w:after="0"/>
        <w:sectPr>
          <w:pgSz w:w="11900" w:h="16840"/>
          <w:pgMar w:header="0" w:footer="181" w:top="880" w:bottom="380" w:left="566" w:right="566"/>
        </w:sectPr>
      </w:pPr>
    </w:p>
    <w:p>
      <w:pPr>
        <w:pStyle w:val="BodyText"/>
        <w:spacing w:before="60"/>
        <w:ind w:right="246"/>
        <w:jc w:val="both"/>
      </w:pPr>
      <w:r>
        <w:rPr/>
        <w:t>2027, destacando que o assunto já deveria ter sido aprovado pela administração da companhia, inclusive com fim a subsidiar o encaminhamento do Plano de Dispêndios Globais - PDG 2027, que já foi enviado à SEST em junho/2026.</w:t>
      </w:r>
    </w:p>
    <w:p>
      <w:pPr>
        <w:pStyle w:val="BodyText"/>
        <w:spacing w:before="114"/>
        <w:ind w:right="240" w:firstLine="1406"/>
        <w:jc w:val="both"/>
      </w:pPr>
      <w:r>
        <w:rPr/>
        <w:t>O Colegiado destaca, ainda, que o atraso na elaboração e aprovação do Plano de Negócios e do PCA se reflete nos graves problemas que a companhia tem reiteradamente enfrentado quanto à reprogramação orçamentária; aos atrasos e revisões dos procedimentos licitatórios; aos dimensionamentos e aditamentos contratuais; às contratações emergenciais e aos reconhecimentos de dívida, com destaque para serviços de prestação contínua e ordinária; além de outras dificuldades correlatas.</w:t>
      </w:r>
    </w:p>
    <w:p>
      <w:pPr>
        <w:pStyle w:val="BodyText"/>
        <w:ind w:left="0"/>
      </w:pPr>
    </w:p>
    <w:p>
      <w:pPr>
        <w:pStyle w:val="BodyText"/>
        <w:ind w:left="0"/>
      </w:pPr>
    </w:p>
    <w:p>
      <w:pPr>
        <w:pStyle w:val="BodyText"/>
        <w:spacing w:before="70"/>
        <w:ind w:left="0"/>
      </w:pPr>
    </w:p>
    <w:p>
      <w:pPr>
        <w:pStyle w:val="Heading1"/>
        <w:numPr>
          <w:ilvl w:val="0"/>
          <w:numId w:val="1"/>
        </w:numPr>
        <w:tabs>
          <w:tab w:pos="479" w:val="left" w:leader="none"/>
        </w:tabs>
        <w:spacing w:line="240" w:lineRule="auto" w:before="0" w:after="0"/>
        <w:ind w:left="479" w:right="0" w:hanging="237"/>
        <w:jc w:val="left"/>
      </w:pPr>
      <w:r>
        <w:rPr>
          <w:spacing w:val="-2"/>
        </w:rPr>
        <w:t>ENCERRAMENTO</w:t>
      </w:r>
      <w:r>
        <w:rPr>
          <w:spacing w:val="-6"/>
        </w:rPr>
        <w:t> </w:t>
      </w:r>
      <w:r>
        <w:rPr>
          <w:spacing w:val="-2"/>
        </w:rPr>
        <w:t>DOS</w:t>
      </w:r>
      <w:r>
        <w:rPr>
          <w:spacing w:val="-5"/>
        </w:rPr>
        <w:t> </w:t>
      </w:r>
      <w:r>
        <w:rPr>
          <w:spacing w:val="-2"/>
        </w:rPr>
        <w:t>TRABALHOS</w:t>
      </w:r>
    </w:p>
    <w:p>
      <w:pPr>
        <w:pStyle w:val="BodyText"/>
        <w:spacing w:before="117"/>
        <w:ind w:right="247" w:firstLine="1406"/>
        <w:jc w:val="both"/>
      </w:pPr>
      <w:r>
        <w:rPr/>
        <w:t>Constatada</w:t>
      </w:r>
      <w:r>
        <w:rPr>
          <w:spacing w:val="-5"/>
        </w:rPr>
        <w:t> </w:t>
      </w:r>
      <w:r>
        <w:rPr/>
        <w:t>a</w:t>
      </w:r>
      <w:r>
        <w:rPr>
          <w:spacing w:val="-5"/>
        </w:rPr>
        <w:t> </w:t>
      </w:r>
      <w:r>
        <w:rPr/>
        <w:t>inexistência</w:t>
      </w:r>
      <w:r>
        <w:rPr>
          <w:spacing w:val="-5"/>
        </w:rPr>
        <w:t> </w:t>
      </w:r>
      <w:r>
        <w:rPr/>
        <w:t>de</w:t>
      </w:r>
      <w:r>
        <w:rPr>
          <w:spacing w:val="-5"/>
        </w:rPr>
        <w:t> </w:t>
      </w:r>
      <w:r>
        <w:rPr/>
        <w:t>qualquer</w:t>
      </w:r>
      <w:r>
        <w:rPr>
          <w:spacing w:val="-5"/>
        </w:rPr>
        <w:t> </w:t>
      </w:r>
      <w:r>
        <w:rPr/>
        <w:t>outro</w:t>
      </w:r>
      <w:r>
        <w:rPr>
          <w:spacing w:val="-5"/>
        </w:rPr>
        <w:t> </w:t>
      </w:r>
      <w:r>
        <w:rPr/>
        <w:t>assunto</w:t>
      </w:r>
      <w:r>
        <w:rPr>
          <w:spacing w:val="-5"/>
        </w:rPr>
        <w:t> </w:t>
      </w:r>
      <w:r>
        <w:rPr/>
        <w:t>a</w:t>
      </w:r>
      <w:r>
        <w:rPr>
          <w:spacing w:val="-5"/>
        </w:rPr>
        <w:t> </w:t>
      </w:r>
      <w:r>
        <w:rPr/>
        <w:t>tratar,</w:t>
      </w:r>
      <w:r>
        <w:rPr>
          <w:spacing w:val="-5"/>
        </w:rPr>
        <w:t> </w:t>
      </w:r>
      <w:r>
        <w:rPr/>
        <w:t>a</w:t>
      </w:r>
      <w:r>
        <w:rPr>
          <w:spacing w:val="-5"/>
        </w:rPr>
        <w:t> </w:t>
      </w:r>
      <w:r>
        <w:rPr/>
        <w:t>Presidente</w:t>
      </w:r>
      <w:r>
        <w:rPr>
          <w:spacing w:val="-5"/>
        </w:rPr>
        <w:t> </w:t>
      </w:r>
      <w:r>
        <w:rPr/>
        <w:t>agendou</w:t>
      </w:r>
      <w:r>
        <w:rPr>
          <w:spacing w:val="-5"/>
        </w:rPr>
        <w:t> </w:t>
      </w:r>
      <w:r>
        <w:rPr/>
        <w:t>a</w:t>
      </w:r>
      <w:r>
        <w:rPr>
          <w:spacing w:val="-5"/>
        </w:rPr>
        <w:t> </w:t>
      </w:r>
      <w:r>
        <w:rPr/>
        <w:t>próxima reunião</w:t>
      </w:r>
      <w:r>
        <w:rPr>
          <w:spacing w:val="-2"/>
        </w:rPr>
        <w:t> </w:t>
      </w:r>
      <w:r>
        <w:rPr/>
        <w:t>para</w:t>
      </w:r>
      <w:r>
        <w:rPr>
          <w:spacing w:val="-2"/>
        </w:rPr>
        <w:t> </w:t>
      </w:r>
      <w:r>
        <w:rPr/>
        <w:t>o</w:t>
      </w:r>
      <w:r>
        <w:rPr>
          <w:spacing w:val="-2"/>
        </w:rPr>
        <w:t> </w:t>
      </w:r>
      <w:r>
        <w:rPr/>
        <w:t>dia </w:t>
      </w:r>
      <w:r>
        <w:rPr>
          <w:b/>
        </w:rPr>
        <w:t>28/08/2026</w:t>
      </w:r>
      <w:r>
        <w:rPr>
          <w:b/>
          <w:spacing w:val="-7"/>
        </w:rPr>
        <w:t> </w:t>
      </w:r>
      <w:r>
        <w:rPr/>
        <w:t>e deu os trabalhos por encerrados, sobre os quais, eu, Mayara Brenda Sousa do Nascimento Silva, Secretária, lavrei a presente Ata, que após lida e aprovada, vai assinada pelos Conselheiros e por mim.</w:t>
      </w:r>
    </w:p>
    <w:p>
      <w:pPr>
        <w:pStyle w:val="BodyText"/>
        <w:ind w:left="0"/>
      </w:pPr>
    </w:p>
    <w:p>
      <w:pPr>
        <w:pStyle w:val="BodyText"/>
        <w:spacing w:before="228"/>
        <w:ind w:left="0"/>
      </w:pPr>
    </w:p>
    <w:p>
      <w:pPr>
        <w:pStyle w:val="BodyText"/>
        <w:ind w:left="12" w:right="12"/>
        <w:jc w:val="center"/>
      </w:pPr>
      <w:r>
        <w:rPr/>
        <w:t>Fortaleza,</w:t>
      </w:r>
      <w:r>
        <w:rPr>
          <w:spacing w:val="-8"/>
        </w:rPr>
        <w:t> </w:t>
      </w:r>
      <w:r>
        <w:rPr/>
        <w:t>31</w:t>
      </w:r>
      <w:r>
        <w:rPr>
          <w:spacing w:val="-7"/>
        </w:rPr>
        <w:t> </w:t>
      </w:r>
      <w:r>
        <w:rPr/>
        <w:t>de</w:t>
      </w:r>
      <w:r>
        <w:rPr>
          <w:spacing w:val="-7"/>
        </w:rPr>
        <w:t> </w:t>
      </w:r>
      <w:r>
        <w:rPr/>
        <w:t>julho</w:t>
      </w:r>
      <w:r>
        <w:rPr>
          <w:spacing w:val="-8"/>
        </w:rPr>
        <w:t> </w:t>
      </w:r>
      <w:r>
        <w:rPr/>
        <w:t>de</w:t>
      </w:r>
      <w:r>
        <w:rPr>
          <w:spacing w:val="-7"/>
        </w:rPr>
        <w:t> </w:t>
      </w:r>
      <w:r>
        <w:rPr>
          <w:spacing w:val="-4"/>
        </w:rPr>
        <w:t>2026</w:t>
      </w:r>
    </w:p>
    <w:p>
      <w:pPr>
        <w:pStyle w:val="BodyText"/>
        <w:ind w:left="0"/>
      </w:pPr>
    </w:p>
    <w:p>
      <w:pPr>
        <w:pStyle w:val="BodyText"/>
        <w:ind w:left="0"/>
      </w:pPr>
    </w:p>
    <w:p>
      <w:pPr>
        <w:pStyle w:val="BodyText"/>
        <w:spacing w:before="77"/>
        <w:ind w:left="0"/>
      </w:pPr>
    </w:p>
    <w:p>
      <w:pPr>
        <w:pStyle w:val="BodyText"/>
        <w:ind w:left="12" w:right="12"/>
        <w:jc w:val="center"/>
      </w:pPr>
      <w:r>
        <w:rPr/>
        <w:t>IVO</w:t>
      </w:r>
      <w:r>
        <w:rPr>
          <w:spacing w:val="-14"/>
        </w:rPr>
        <w:t> </w:t>
      </w:r>
      <w:r>
        <w:rPr/>
        <w:t>CORDEIRO</w:t>
      </w:r>
      <w:r>
        <w:rPr>
          <w:spacing w:val="-13"/>
        </w:rPr>
        <w:t> </w:t>
      </w:r>
      <w:r>
        <w:rPr/>
        <w:t>PINHO</w:t>
      </w:r>
      <w:r>
        <w:rPr>
          <w:spacing w:val="-13"/>
        </w:rPr>
        <w:t> </w:t>
      </w:r>
      <w:r>
        <w:rPr>
          <w:spacing w:val="-2"/>
        </w:rPr>
        <w:t>TIMBÓ</w:t>
      </w:r>
    </w:p>
    <w:p>
      <w:pPr>
        <w:pStyle w:val="BodyText"/>
        <w:spacing w:before="117"/>
        <w:ind w:left="11" w:right="12"/>
        <w:jc w:val="center"/>
      </w:pPr>
      <w:r>
        <w:rPr>
          <w:spacing w:val="-2"/>
        </w:rPr>
        <w:t>Presidente</w:t>
      </w:r>
    </w:p>
    <w:p>
      <w:pPr>
        <w:pStyle w:val="BodyText"/>
        <w:spacing w:before="235"/>
        <w:ind w:left="0"/>
      </w:pPr>
    </w:p>
    <w:p>
      <w:pPr>
        <w:pStyle w:val="BodyText"/>
        <w:ind w:left="3" w:right="12"/>
        <w:jc w:val="center"/>
      </w:pPr>
      <w:r>
        <w:rPr>
          <w:spacing w:val="-2"/>
        </w:rPr>
        <w:t>GEORGE</w:t>
      </w:r>
      <w:r>
        <w:rPr>
          <w:spacing w:val="-4"/>
        </w:rPr>
        <w:t> </w:t>
      </w:r>
      <w:r>
        <w:rPr>
          <w:spacing w:val="-2"/>
        </w:rPr>
        <w:t>CHRISTIAN</w:t>
      </w:r>
      <w:r>
        <w:rPr>
          <w:spacing w:val="-4"/>
        </w:rPr>
        <w:t> </w:t>
      </w:r>
      <w:r>
        <w:rPr>
          <w:spacing w:val="-2"/>
        </w:rPr>
        <w:t>LINHARES</w:t>
      </w:r>
      <w:r>
        <w:rPr>
          <w:spacing w:val="-4"/>
        </w:rPr>
        <w:t> </w:t>
      </w:r>
      <w:r>
        <w:rPr>
          <w:spacing w:val="-2"/>
        </w:rPr>
        <w:t>BEZERRA</w:t>
      </w:r>
    </w:p>
    <w:p>
      <w:pPr>
        <w:pStyle w:val="BodyText"/>
        <w:spacing w:before="118"/>
        <w:ind w:left="5" w:right="12"/>
        <w:jc w:val="center"/>
      </w:pPr>
      <w:r>
        <w:rPr>
          <w:spacing w:val="-2"/>
        </w:rPr>
        <w:t>Conselheiro</w:t>
      </w:r>
    </w:p>
    <w:p>
      <w:pPr>
        <w:pStyle w:val="BodyText"/>
        <w:spacing w:before="235"/>
        <w:ind w:left="0"/>
      </w:pPr>
    </w:p>
    <w:p>
      <w:pPr>
        <w:pStyle w:val="BodyText"/>
        <w:ind w:left="2" w:right="12"/>
        <w:jc w:val="center"/>
      </w:pPr>
      <w:r>
        <w:rPr/>
        <w:t>BRUNO</w:t>
      </w:r>
      <w:r>
        <w:rPr>
          <w:spacing w:val="-14"/>
        </w:rPr>
        <w:t> </w:t>
      </w:r>
      <w:r>
        <w:rPr/>
        <w:t>FERNANDES</w:t>
      </w:r>
      <w:r>
        <w:rPr>
          <w:spacing w:val="-14"/>
        </w:rPr>
        <w:t> </w:t>
      </w:r>
      <w:r>
        <w:rPr/>
        <w:t>DA</w:t>
      </w:r>
      <w:r>
        <w:rPr>
          <w:spacing w:val="-14"/>
        </w:rPr>
        <w:t> </w:t>
      </w:r>
      <w:r>
        <w:rPr/>
        <w:t>ROCHA</w:t>
      </w:r>
      <w:r>
        <w:rPr>
          <w:spacing w:val="-14"/>
        </w:rPr>
        <w:t> </w:t>
      </w:r>
      <w:r>
        <w:rPr>
          <w:spacing w:val="-2"/>
        </w:rPr>
        <w:t>BORBA</w:t>
      </w:r>
    </w:p>
    <w:p>
      <w:pPr>
        <w:pStyle w:val="BodyText"/>
        <w:spacing w:before="117"/>
        <w:ind w:left="5" w:right="12"/>
        <w:jc w:val="center"/>
      </w:pPr>
      <w:r>
        <w:rPr>
          <w:spacing w:val="-2"/>
        </w:rPr>
        <w:t>Conselheiro</w:t>
      </w:r>
    </w:p>
    <w:p>
      <w:pPr>
        <w:pStyle w:val="BodyText"/>
        <w:spacing w:before="235"/>
        <w:ind w:left="0"/>
      </w:pPr>
    </w:p>
    <w:p>
      <w:pPr>
        <w:pStyle w:val="BodyText"/>
        <w:ind w:left="0" w:right="12"/>
        <w:jc w:val="center"/>
      </w:pPr>
      <w:r>
        <w:rPr>
          <w:spacing w:val="-2"/>
        </w:rPr>
        <w:t>MAYARA</w:t>
      </w:r>
      <w:r>
        <w:rPr>
          <w:spacing w:val="-4"/>
        </w:rPr>
        <w:t> </w:t>
      </w:r>
      <w:r>
        <w:rPr>
          <w:spacing w:val="-2"/>
        </w:rPr>
        <w:t>BRENDA</w:t>
      </w:r>
      <w:r>
        <w:rPr>
          <w:spacing w:val="-4"/>
        </w:rPr>
        <w:t> </w:t>
      </w:r>
      <w:r>
        <w:rPr>
          <w:spacing w:val="-2"/>
        </w:rPr>
        <w:t>SOUSA</w:t>
      </w:r>
      <w:r>
        <w:rPr>
          <w:spacing w:val="-4"/>
        </w:rPr>
        <w:t> </w:t>
      </w:r>
      <w:r>
        <w:rPr>
          <w:spacing w:val="-2"/>
        </w:rPr>
        <w:t>DO</w:t>
      </w:r>
      <w:r>
        <w:rPr>
          <w:spacing w:val="-3"/>
        </w:rPr>
        <w:t> </w:t>
      </w:r>
      <w:r>
        <w:rPr>
          <w:spacing w:val="-2"/>
        </w:rPr>
        <w:t>NASCIMENTO</w:t>
      </w:r>
      <w:r>
        <w:rPr>
          <w:spacing w:val="-4"/>
        </w:rPr>
        <w:t> </w:t>
      </w:r>
      <w:r>
        <w:rPr>
          <w:spacing w:val="-2"/>
        </w:rPr>
        <w:t>SILVA</w:t>
      </w:r>
    </w:p>
    <w:p>
      <w:pPr>
        <w:pStyle w:val="BodyText"/>
        <w:spacing w:before="118"/>
        <w:ind w:left="8" w:right="12"/>
        <w:jc w:val="center"/>
      </w:pPr>
      <w:r>
        <w:rPr/>
        <w:drawing>
          <wp:anchor distT="0" distB="0" distL="0" distR="0" allowOverlap="1" layoutInCell="1" locked="0" behindDoc="0" simplePos="0" relativeHeight="15731200">
            <wp:simplePos x="0" y="0"/>
            <wp:positionH relativeFrom="page">
              <wp:posOffset>460378</wp:posOffset>
            </wp:positionH>
            <wp:positionV relativeFrom="paragraph">
              <wp:posOffset>406640</wp:posOffset>
            </wp:positionV>
            <wp:extent cx="840428" cy="567856"/>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840428" cy="567856"/>
                    </a:xfrm>
                    <a:prstGeom prst="rect">
                      <a:avLst/>
                    </a:prstGeom>
                  </pic:spPr>
                </pic:pic>
              </a:graphicData>
            </a:graphic>
          </wp:anchor>
        </w:drawing>
      </w:r>
      <w:r>
        <w:rPr/>
        <w:drawing>
          <wp:anchor distT="0" distB="0" distL="0" distR="0" allowOverlap="1" layoutInCell="1" locked="0" behindDoc="0" simplePos="0" relativeHeight="15731712">
            <wp:simplePos x="0" y="0"/>
            <wp:positionH relativeFrom="page">
              <wp:posOffset>460378</wp:posOffset>
            </wp:positionH>
            <wp:positionV relativeFrom="paragraph">
              <wp:posOffset>1110783</wp:posOffset>
            </wp:positionV>
            <wp:extent cx="840428" cy="567856"/>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840428" cy="567856"/>
                    </a:xfrm>
                    <a:prstGeom prst="rect">
                      <a:avLst/>
                    </a:prstGeom>
                  </pic:spPr>
                </pic:pic>
              </a:graphicData>
            </a:graphic>
          </wp:anchor>
        </w:drawing>
      </w:r>
      <w:r>
        <w:rPr/>
        <w:drawing>
          <wp:anchor distT="0" distB="0" distL="0" distR="0" allowOverlap="1" layoutInCell="1" locked="0" behindDoc="0" simplePos="0" relativeHeight="15732224">
            <wp:simplePos x="0" y="0"/>
            <wp:positionH relativeFrom="page">
              <wp:posOffset>460378</wp:posOffset>
            </wp:positionH>
            <wp:positionV relativeFrom="paragraph">
              <wp:posOffset>1814925</wp:posOffset>
            </wp:positionV>
            <wp:extent cx="840428" cy="567856"/>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840428" cy="567856"/>
                    </a:xfrm>
                    <a:prstGeom prst="rect">
                      <a:avLst/>
                    </a:prstGeom>
                  </pic:spPr>
                </pic:pic>
              </a:graphicData>
            </a:graphic>
          </wp:anchor>
        </w:drawing>
      </w:r>
      <w:r>
        <w:rPr/>
        <w:drawing>
          <wp:anchor distT="0" distB="0" distL="0" distR="0" allowOverlap="1" layoutInCell="1" locked="0" behindDoc="0" simplePos="0" relativeHeight="15732736">
            <wp:simplePos x="0" y="0"/>
            <wp:positionH relativeFrom="page">
              <wp:posOffset>460378</wp:posOffset>
            </wp:positionH>
            <wp:positionV relativeFrom="paragraph">
              <wp:posOffset>2519068</wp:posOffset>
            </wp:positionV>
            <wp:extent cx="840428" cy="567856"/>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840428" cy="567856"/>
                    </a:xfrm>
                    <a:prstGeom prst="rect">
                      <a:avLst/>
                    </a:prstGeom>
                  </pic:spPr>
                </pic:pic>
              </a:graphicData>
            </a:graphic>
          </wp:anchor>
        </w:drawing>
      </w:r>
      <w:r>
        <w:rPr>
          <w:spacing w:val="-2"/>
        </w:rPr>
        <w:t>Secretária</w:t>
      </w:r>
    </w:p>
    <w:p>
      <w:pPr>
        <w:pStyle w:val="BodyText"/>
        <w:spacing w:before="11"/>
        <w:ind w:left="0"/>
        <w:rPr>
          <w:sz w:val="8"/>
        </w:rPr>
      </w:pPr>
      <w:r>
        <w:rPr>
          <w:sz w:val="8"/>
        </w:rPr>
        <mc:AlternateContent>
          <mc:Choice Requires="wps">
            <w:drawing>
              <wp:anchor distT="0" distB="0" distL="0" distR="0" allowOverlap="1" layoutInCell="1" locked="0" behindDoc="1" simplePos="0" relativeHeight="487587840">
                <wp:simplePos x="0" y="0"/>
                <wp:positionH relativeFrom="page">
                  <wp:posOffset>437664</wp:posOffset>
                </wp:positionH>
                <wp:positionV relativeFrom="paragraph">
                  <wp:posOffset>80751</wp:posOffset>
                </wp:positionV>
                <wp:extent cx="6678295" cy="15240"/>
                <wp:effectExtent l="0" t="0" r="0" b="0"/>
                <wp:wrapTopAndBottom/>
                <wp:docPr id="8" name="Group 8"/>
                <wp:cNvGraphicFramePr>
                  <a:graphicFrameLocks/>
                </wp:cNvGraphicFramePr>
                <a:graphic>
                  <a:graphicData uri="http://schemas.microsoft.com/office/word/2010/wordprocessingGroup">
                    <wpg:wgp>
                      <wpg:cNvPr id="8" name="Group 8"/>
                      <wpg:cNvGrpSpPr/>
                      <wpg:grpSpPr>
                        <a:xfrm>
                          <a:off x="0" y="0"/>
                          <a:ext cx="6678295" cy="15240"/>
                          <a:chExt cx="6678295" cy="15240"/>
                        </a:xfrm>
                      </wpg:grpSpPr>
                      <wps:wsp>
                        <wps:cNvPr id="9" name="Graphic 9"/>
                        <wps:cNvSpPr/>
                        <wps:spPr>
                          <a:xfrm>
                            <a:off x="0" y="0"/>
                            <a:ext cx="6678295" cy="7620"/>
                          </a:xfrm>
                          <a:custGeom>
                            <a:avLst/>
                            <a:gdLst/>
                            <a:ahLst/>
                            <a:cxnLst/>
                            <a:rect l="l" t="t" r="r" b="b"/>
                            <a:pathLst>
                              <a:path w="6678295" h="7620">
                                <a:moveTo>
                                  <a:pt x="6670425" y="7571"/>
                                </a:moveTo>
                                <a:lnTo>
                                  <a:pt x="0" y="7571"/>
                                </a:lnTo>
                                <a:lnTo>
                                  <a:pt x="0" y="0"/>
                                </a:lnTo>
                                <a:lnTo>
                                  <a:pt x="6677996" y="0"/>
                                </a:lnTo>
                                <a:lnTo>
                                  <a:pt x="6670425" y="7571"/>
                                </a:lnTo>
                                <a:close/>
                              </a:path>
                            </a:pathLst>
                          </a:custGeom>
                          <a:solidFill>
                            <a:srgbClr val="999999"/>
                          </a:solidFill>
                        </wps:spPr>
                        <wps:bodyPr wrap="square" lIns="0" tIns="0" rIns="0" bIns="0" rtlCol="0">
                          <a:prstTxWarp prst="textNoShape">
                            <a:avLst/>
                          </a:prstTxWarp>
                          <a:noAutofit/>
                        </wps:bodyPr>
                      </wps:wsp>
                      <wps:wsp>
                        <wps:cNvPr id="10" name="Graphic 10"/>
                        <wps:cNvSpPr/>
                        <wps:spPr>
                          <a:xfrm>
                            <a:off x="0" y="7571"/>
                            <a:ext cx="6678295" cy="7620"/>
                          </a:xfrm>
                          <a:custGeom>
                            <a:avLst/>
                            <a:gdLst/>
                            <a:ahLst/>
                            <a:cxnLst/>
                            <a:rect l="l" t="t" r="r" b="b"/>
                            <a:pathLst>
                              <a:path w="6678295" h="7620">
                                <a:moveTo>
                                  <a:pt x="6677996" y="7571"/>
                                </a:moveTo>
                                <a:lnTo>
                                  <a:pt x="0" y="7571"/>
                                </a:lnTo>
                                <a:lnTo>
                                  <a:pt x="7571" y="0"/>
                                </a:lnTo>
                                <a:lnTo>
                                  <a:pt x="6677996" y="0"/>
                                </a:lnTo>
                                <a:lnTo>
                                  <a:pt x="6677996" y="7571"/>
                                </a:lnTo>
                                <a:close/>
                              </a:path>
                            </a:pathLst>
                          </a:custGeom>
                          <a:solidFill>
                            <a:srgbClr val="EDEDED"/>
                          </a:solidFill>
                        </wps:spPr>
                        <wps:bodyPr wrap="square" lIns="0" tIns="0" rIns="0" bIns="0" rtlCol="0">
                          <a:prstTxWarp prst="textNoShape">
                            <a:avLst/>
                          </a:prstTxWarp>
                          <a:noAutofit/>
                        </wps:bodyPr>
                      </wps:wsp>
                      <wps:wsp>
                        <wps:cNvPr id="11" name="Graphic 11"/>
                        <wps:cNvSpPr/>
                        <wps:spPr>
                          <a:xfrm>
                            <a:off x="0" y="0"/>
                            <a:ext cx="7620" cy="15240"/>
                          </a:xfrm>
                          <a:custGeom>
                            <a:avLst/>
                            <a:gdLst/>
                            <a:ahLst/>
                            <a:cxnLst/>
                            <a:rect l="l" t="t" r="r" b="b"/>
                            <a:pathLst>
                              <a:path w="7620" h="15240">
                                <a:moveTo>
                                  <a:pt x="0" y="15142"/>
                                </a:moveTo>
                                <a:lnTo>
                                  <a:pt x="0" y="0"/>
                                </a:lnTo>
                                <a:lnTo>
                                  <a:pt x="7571" y="0"/>
                                </a:lnTo>
                                <a:lnTo>
                                  <a:pt x="7571" y="7571"/>
                                </a:lnTo>
                                <a:lnTo>
                                  <a:pt x="0" y="15142"/>
                                </a:lnTo>
                                <a:close/>
                              </a:path>
                            </a:pathLst>
                          </a:custGeom>
                          <a:solidFill>
                            <a:srgbClr val="999999"/>
                          </a:solidFill>
                        </wps:spPr>
                        <wps:bodyPr wrap="square" lIns="0" tIns="0" rIns="0" bIns="0" rtlCol="0">
                          <a:prstTxWarp prst="textNoShape">
                            <a:avLst/>
                          </a:prstTxWarp>
                          <a:noAutofit/>
                        </wps:bodyPr>
                      </wps:wsp>
                      <wps:wsp>
                        <wps:cNvPr id="12" name="Graphic 12"/>
                        <wps:cNvSpPr/>
                        <wps:spPr>
                          <a:xfrm>
                            <a:off x="6670425" y="0"/>
                            <a:ext cx="7620" cy="15240"/>
                          </a:xfrm>
                          <a:custGeom>
                            <a:avLst/>
                            <a:gdLst/>
                            <a:ahLst/>
                            <a:cxnLst/>
                            <a:rect l="l" t="t" r="r" b="b"/>
                            <a:pathLst>
                              <a:path w="7620" h="15240">
                                <a:moveTo>
                                  <a:pt x="7571" y="15142"/>
                                </a:moveTo>
                                <a:lnTo>
                                  <a:pt x="0" y="15142"/>
                                </a:lnTo>
                                <a:lnTo>
                                  <a:pt x="0" y="7571"/>
                                </a:lnTo>
                                <a:lnTo>
                                  <a:pt x="7571" y="0"/>
                                </a:lnTo>
                                <a:lnTo>
                                  <a:pt x="7571" y="15142"/>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34.46175pt;margin-top:6.358362pt;width:525.85pt;height:1.2pt;mso-position-horizontal-relative:page;mso-position-vertical-relative:paragraph;z-index:-15728640;mso-wrap-distance-left:0;mso-wrap-distance-right:0" id="docshapegroup3" coordorigin="689,127" coordsize="10517,24">
                <v:shape style="position:absolute;left:689;top:127;width:10517;height:12" id="docshape4" coordorigin="689,127" coordsize="10517,12" path="m11194,139l689,139,689,127,11206,127,11194,139xe" filled="true" fillcolor="#999999" stroked="false">
                  <v:path arrowok="t"/>
                  <v:fill type="solid"/>
                </v:shape>
                <v:shape style="position:absolute;left:689;top:139;width:10517;height:12" id="docshape5" coordorigin="689,139" coordsize="10517,12" path="m11206,151l689,151,701,139,11206,139,11206,151xe" filled="true" fillcolor="#ededed" stroked="false">
                  <v:path arrowok="t"/>
                  <v:fill type="solid"/>
                </v:shape>
                <v:shape style="position:absolute;left:689;top:127;width:12;height:24" id="docshape6" coordorigin="689,127" coordsize="12,24" path="m689,151l689,127,701,127,701,139,689,151xe" filled="true" fillcolor="#999999" stroked="false">
                  <v:path arrowok="t"/>
                  <v:fill type="solid"/>
                </v:shape>
                <v:shape style="position:absolute;left:11193;top:127;width:12;height:24" id="docshape7" coordorigin="11194,127" coordsize="12,24" path="m11206,151l11194,151,11194,139,11206,127,11206,151xe" filled="true" fillcolor="#ededed" stroked="false">
                  <v:path arrowok="t"/>
                  <v:fill type="solid"/>
                </v:shape>
                <w10:wrap type="topAndBottom"/>
              </v:group>
            </w:pict>
          </mc:Fallback>
        </mc:AlternateContent>
      </w:r>
    </w:p>
    <w:p>
      <w:pPr>
        <w:spacing w:line="249" w:lineRule="auto" w:before="197"/>
        <w:ind w:left="1530" w:right="245" w:firstLine="0"/>
        <w:jc w:val="left"/>
        <w:rPr>
          <w:sz w:val="21"/>
        </w:rPr>
      </w:pPr>
      <w:r>
        <w:rPr>
          <w:sz w:val="21"/>
        </w:rPr>
        <w:t>Documento assinado eletronicamente por </w:t>
      </w:r>
      <w:r>
        <w:rPr>
          <w:b/>
          <w:sz w:val="21"/>
        </w:rPr>
        <w:t>Ivo Cordeiro Pinho Timbó</w:t>
      </w:r>
      <w:r>
        <w:rPr>
          <w:b/>
          <w:spacing w:val="-28"/>
          <w:sz w:val="21"/>
        </w:rPr>
        <w:t> </w:t>
      </w:r>
      <w:r>
        <w:rPr>
          <w:sz w:val="21"/>
        </w:rPr>
        <w:t>, </w:t>
      </w:r>
      <w:r>
        <w:rPr>
          <w:b/>
          <w:sz w:val="21"/>
        </w:rPr>
        <w:t>Conselheiro</w:t>
      </w:r>
      <w:r>
        <w:rPr>
          <w:sz w:val="21"/>
        </w:rPr>
        <w:t>, em 06/08/2026, às 16:27, conforme horário oficial de Brasília, com fundamento no art. 3°, inciso V, da Portaria nº 446/2015 do Ministério dos Transportes.</w:t>
      </w:r>
    </w:p>
    <w:p>
      <w:pPr>
        <w:pStyle w:val="BodyText"/>
        <w:spacing w:before="7"/>
        <w:ind w:left="0"/>
        <w:rPr>
          <w:sz w:val="9"/>
        </w:rPr>
      </w:pPr>
      <w:r>
        <w:rPr>
          <w:sz w:val="9"/>
        </w:rPr>
        <mc:AlternateContent>
          <mc:Choice Requires="wps">
            <w:drawing>
              <wp:anchor distT="0" distB="0" distL="0" distR="0" allowOverlap="1" layoutInCell="1" locked="0" behindDoc="1" simplePos="0" relativeHeight="487588352">
                <wp:simplePos x="0" y="0"/>
                <wp:positionH relativeFrom="page">
                  <wp:posOffset>437664</wp:posOffset>
                </wp:positionH>
                <wp:positionV relativeFrom="paragraph">
                  <wp:posOffset>85485</wp:posOffset>
                </wp:positionV>
                <wp:extent cx="6678295" cy="15240"/>
                <wp:effectExtent l="0" t="0" r="0" b="0"/>
                <wp:wrapTopAndBottom/>
                <wp:docPr id="13" name="Group 13"/>
                <wp:cNvGraphicFramePr>
                  <a:graphicFrameLocks/>
                </wp:cNvGraphicFramePr>
                <a:graphic>
                  <a:graphicData uri="http://schemas.microsoft.com/office/word/2010/wordprocessingGroup">
                    <wpg:wgp>
                      <wpg:cNvPr id="13" name="Group 13"/>
                      <wpg:cNvGrpSpPr/>
                      <wpg:grpSpPr>
                        <a:xfrm>
                          <a:off x="0" y="0"/>
                          <a:ext cx="6678295" cy="15240"/>
                          <a:chExt cx="6678295" cy="15240"/>
                        </a:xfrm>
                      </wpg:grpSpPr>
                      <wps:wsp>
                        <wps:cNvPr id="14" name="Graphic 14"/>
                        <wps:cNvSpPr/>
                        <wps:spPr>
                          <a:xfrm>
                            <a:off x="0" y="0"/>
                            <a:ext cx="6678295" cy="7620"/>
                          </a:xfrm>
                          <a:custGeom>
                            <a:avLst/>
                            <a:gdLst/>
                            <a:ahLst/>
                            <a:cxnLst/>
                            <a:rect l="l" t="t" r="r" b="b"/>
                            <a:pathLst>
                              <a:path w="6678295" h="7620">
                                <a:moveTo>
                                  <a:pt x="6670425" y="7571"/>
                                </a:moveTo>
                                <a:lnTo>
                                  <a:pt x="0" y="7571"/>
                                </a:lnTo>
                                <a:lnTo>
                                  <a:pt x="0" y="0"/>
                                </a:lnTo>
                                <a:lnTo>
                                  <a:pt x="6677996" y="0"/>
                                </a:lnTo>
                                <a:lnTo>
                                  <a:pt x="6670425" y="7571"/>
                                </a:lnTo>
                                <a:close/>
                              </a:path>
                            </a:pathLst>
                          </a:custGeom>
                          <a:solidFill>
                            <a:srgbClr val="999999"/>
                          </a:solidFill>
                        </wps:spPr>
                        <wps:bodyPr wrap="square" lIns="0" tIns="0" rIns="0" bIns="0" rtlCol="0">
                          <a:prstTxWarp prst="textNoShape">
                            <a:avLst/>
                          </a:prstTxWarp>
                          <a:noAutofit/>
                        </wps:bodyPr>
                      </wps:wsp>
                      <wps:wsp>
                        <wps:cNvPr id="15" name="Graphic 15"/>
                        <wps:cNvSpPr/>
                        <wps:spPr>
                          <a:xfrm>
                            <a:off x="0" y="7571"/>
                            <a:ext cx="6678295" cy="7620"/>
                          </a:xfrm>
                          <a:custGeom>
                            <a:avLst/>
                            <a:gdLst/>
                            <a:ahLst/>
                            <a:cxnLst/>
                            <a:rect l="l" t="t" r="r" b="b"/>
                            <a:pathLst>
                              <a:path w="6678295" h="7620">
                                <a:moveTo>
                                  <a:pt x="6677996" y="7571"/>
                                </a:moveTo>
                                <a:lnTo>
                                  <a:pt x="0" y="7571"/>
                                </a:lnTo>
                                <a:lnTo>
                                  <a:pt x="7571" y="0"/>
                                </a:lnTo>
                                <a:lnTo>
                                  <a:pt x="6677996" y="0"/>
                                </a:lnTo>
                                <a:lnTo>
                                  <a:pt x="6677996" y="7571"/>
                                </a:lnTo>
                                <a:close/>
                              </a:path>
                            </a:pathLst>
                          </a:custGeom>
                          <a:solidFill>
                            <a:srgbClr val="EDEDED"/>
                          </a:solidFill>
                        </wps:spPr>
                        <wps:bodyPr wrap="square" lIns="0" tIns="0" rIns="0" bIns="0" rtlCol="0">
                          <a:prstTxWarp prst="textNoShape">
                            <a:avLst/>
                          </a:prstTxWarp>
                          <a:noAutofit/>
                        </wps:bodyPr>
                      </wps:wsp>
                      <wps:wsp>
                        <wps:cNvPr id="16" name="Graphic 16"/>
                        <wps:cNvSpPr/>
                        <wps:spPr>
                          <a:xfrm>
                            <a:off x="0" y="0"/>
                            <a:ext cx="7620" cy="15240"/>
                          </a:xfrm>
                          <a:custGeom>
                            <a:avLst/>
                            <a:gdLst/>
                            <a:ahLst/>
                            <a:cxnLst/>
                            <a:rect l="l" t="t" r="r" b="b"/>
                            <a:pathLst>
                              <a:path w="7620" h="15240">
                                <a:moveTo>
                                  <a:pt x="0" y="15142"/>
                                </a:moveTo>
                                <a:lnTo>
                                  <a:pt x="0" y="0"/>
                                </a:lnTo>
                                <a:lnTo>
                                  <a:pt x="7571" y="0"/>
                                </a:lnTo>
                                <a:lnTo>
                                  <a:pt x="7571" y="7571"/>
                                </a:lnTo>
                                <a:lnTo>
                                  <a:pt x="0" y="15142"/>
                                </a:lnTo>
                                <a:close/>
                              </a:path>
                            </a:pathLst>
                          </a:custGeom>
                          <a:solidFill>
                            <a:srgbClr val="999999"/>
                          </a:solidFill>
                        </wps:spPr>
                        <wps:bodyPr wrap="square" lIns="0" tIns="0" rIns="0" bIns="0" rtlCol="0">
                          <a:prstTxWarp prst="textNoShape">
                            <a:avLst/>
                          </a:prstTxWarp>
                          <a:noAutofit/>
                        </wps:bodyPr>
                      </wps:wsp>
                      <wps:wsp>
                        <wps:cNvPr id="17" name="Graphic 17"/>
                        <wps:cNvSpPr/>
                        <wps:spPr>
                          <a:xfrm>
                            <a:off x="6670425" y="0"/>
                            <a:ext cx="7620" cy="15240"/>
                          </a:xfrm>
                          <a:custGeom>
                            <a:avLst/>
                            <a:gdLst/>
                            <a:ahLst/>
                            <a:cxnLst/>
                            <a:rect l="l" t="t" r="r" b="b"/>
                            <a:pathLst>
                              <a:path w="7620" h="15240">
                                <a:moveTo>
                                  <a:pt x="7571" y="15142"/>
                                </a:moveTo>
                                <a:lnTo>
                                  <a:pt x="0" y="15142"/>
                                </a:lnTo>
                                <a:lnTo>
                                  <a:pt x="0" y="7571"/>
                                </a:lnTo>
                                <a:lnTo>
                                  <a:pt x="7571" y="0"/>
                                </a:lnTo>
                                <a:lnTo>
                                  <a:pt x="7571" y="15142"/>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34.46175pt;margin-top:6.731141pt;width:525.85pt;height:1.2pt;mso-position-horizontal-relative:page;mso-position-vertical-relative:paragraph;z-index:-15728128;mso-wrap-distance-left:0;mso-wrap-distance-right:0" id="docshapegroup8" coordorigin="689,135" coordsize="10517,24">
                <v:shape style="position:absolute;left:689;top:134;width:10517;height:12" id="docshape9" coordorigin="689,135" coordsize="10517,12" path="m11194,147l689,147,689,135,11206,135,11194,147xe" filled="true" fillcolor="#999999" stroked="false">
                  <v:path arrowok="t"/>
                  <v:fill type="solid"/>
                </v:shape>
                <v:shape style="position:absolute;left:689;top:146;width:10517;height:12" id="docshape10" coordorigin="689,147" coordsize="10517,12" path="m11206,158l689,158,701,147,11206,147,11206,158xe" filled="true" fillcolor="#ededed" stroked="false">
                  <v:path arrowok="t"/>
                  <v:fill type="solid"/>
                </v:shape>
                <v:shape style="position:absolute;left:689;top:134;width:12;height:24" id="docshape11" coordorigin="689,135" coordsize="12,24" path="m689,158l689,135,701,135,701,147,689,158xe" filled="true" fillcolor="#999999" stroked="false">
                  <v:path arrowok="t"/>
                  <v:fill type="solid"/>
                </v:shape>
                <v:shape style="position:absolute;left:11193;top:134;width:12;height:24" id="docshape12" coordorigin="11194,135" coordsize="12,24" path="m11206,158l11194,158,11194,147,11206,135,11206,158xe" filled="true" fillcolor="#ededed" stroked="false">
                  <v:path arrowok="t"/>
                  <v:fill type="solid"/>
                </v:shape>
                <w10:wrap type="topAndBottom"/>
              </v:group>
            </w:pict>
          </mc:Fallback>
        </mc:AlternateContent>
      </w:r>
    </w:p>
    <w:p>
      <w:pPr>
        <w:spacing w:line="249" w:lineRule="auto" w:before="197"/>
        <w:ind w:left="1530" w:right="245" w:firstLine="0"/>
        <w:jc w:val="left"/>
        <w:rPr>
          <w:sz w:val="21"/>
        </w:rPr>
      </w:pPr>
      <w:r>
        <w:rPr>
          <w:sz w:val="21"/>
        </w:rPr>
        <w:t>Documento assinado eletronicamente por </w:t>
      </w:r>
      <w:r>
        <w:rPr>
          <w:b/>
          <w:sz w:val="21"/>
        </w:rPr>
        <w:t>Mayara Brenda Sousa do Nascimento</w:t>
      </w:r>
      <w:r>
        <w:rPr>
          <w:b/>
          <w:spacing w:val="-21"/>
          <w:sz w:val="21"/>
        </w:rPr>
        <w:t> </w:t>
      </w:r>
      <w:r>
        <w:rPr>
          <w:sz w:val="21"/>
        </w:rPr>
        <w:t>, </w:t>
      </w:r>
      <w:r>
        <w:rPr>
          <w:b/>
          <w:sz w:val="21"/>
        </w:rPr>
        <w:t>Secretário(a)</w:t>
      </w:r>
      <w:r>
        <w:rPr>
          <w:sz w:val="21"/>
        </w:rPr>
        <w:t>, em 12/08/2026, às 16:15, conforme horário oficial de Brasília, com fundamento no art. 3°, inciso V, da Portaria nº 446/2015 do Ministério dos Transportes.</w:t>
      </w:r>
    </w:p>
    <w:p>
      <w:pPr>
        <w:pStyle w:val="BodyText"/>
        <w:spacing w:before="7"/>
        <w:ind w:left="0"/>
        <w:rPr>
          <w:sz w:val="9"/>
        </w:rPr>
      </w:pPr>
      <w:r>
        <w:rPr>
          <w:sz w:val="9"/>
        </w:rPr>
        <mc:AlternateContent>
          <mc:Choice Requires="wps">
            <w:drawing>
              <wp:anchor distT="0" distB="0" distL="0" distR="0" allowOverlap="1" layoutInCell="1" locked="0" behindDoc="1" simplePos="0" relativeHeight="487588864">
                <wp:simplePos x="0" y="0"/>
                <wp:positionH relativeFrom="page">
                  <wp:posOffset>437664</wp:posOffset>
                </wp:positionH>
                <wp:positionV relativeFrom="paragraph">
                  <wp:posOffset>85485</wp:posOffset>
                </wp:positionV>
                <wp:extent cx="6678295" cy="15240"/>
                <wp:effectExtent l="0" t="0" r="0" b="0"/>
                <wp:wrapTopAndBottom/>
                <wp:docPr id="18" name="Group 18"/>
                <wp:cNvGraphicFramePr>
                  <a:graphicFrameLocks/>
                </wp:cNvGraphicFramePr>
                <a:graphic>
                  <a:graphicData uri="http://schemas.microsoft.com/office/word/2010/wordprocessingGroup">
                    <wpg:wgp>
                      <wpg:cNvPr id="18" name="Group 18"/>
                      <wpg:cNvGrpSpPr/>
                      <wpg:grpSpPr>
                        <a:xfrm>
                          <a:off x="0" y="0"/>
                          <a:ext cx="6678295" cy="15240"/>
                          <a:chExt cx="6678295" cy="15240"/>
                        </a:xfrm>
                      </wpg:grpSpPr>
                      <wps:wsp>
                        <wps:cNvPr id="19" name="Graphic 19"/>
                        <wps:cNvSpPr/>
                        <wps:spPr>
                          <a:xfrm>
                            <a:off x="0" y="0"/>
                            <a:ext cx="6678295" cy="7620"/>
                          </a:xfrm>
                          <a:custGeom>
                            <a:avLst/>
                            <a:gdLst/>
                            <a:ahLst/>
                            <a:cxnLst/>
                            <a:rect l="l" t="t" r="r" b="b"/>
                            <a:pathLst>
                              <a:path w="6678295" h="7620">
                                <a:moveTo>
                                  <a:pt x="6670425" y="7571"/>
                                </a:moveTo>
                                <a:lnTo>
                                  <a:pt x="0" y="7571"/>
                                </a:lnTo>
                                <a:lnTo>
                                  <a:pt x="0" y="0"/>
                                </a:lnTo>
                                <a:lnTo>
                                  <a:pt x="6677996" y="0"/>
                                </a:lnTo>
                                <a:lnTo>
                                  <a:pt x="6670425" y="7571"/>
                                </a:lnTo>
                                <a:close/>
                              </a:path>
                            </a:pathLst>
                          </a:custGeom>
                          <a:solidFill>
                            <a:srgbClr val="999999"/>
                          </a:solidFill>
                        </wps:spPr>
                        <wps:bodyPr wrap="square" lIns="0" tIns="0" rIns="0" bIns="0" rtlCol="0">
                          <a:prstTxWarp prst="textNoShape">
                            <a:avLst/>
                          </a:prstTxWarp>
                          <a:noAutofit/>
                        </wps:bodyPr>
                      </wps:wsp>
                      <wps:wsp>
                        <wps:cNvPr id="20" name="Graphic 20"/>
                        <wps:cNvSpPr/>
                        <wps:spPr>
                          <a:xfrm>
                            <a:off x="0" y="7571"/>
                            <a:ext cx="6678295" cy="7620"/>
                          </a:xfrm>
                          <a:custGeom>
                            <a:avLst/>
                            <a:gdLst/>
                            <a:ahLst/>
                            <a:cxnLst/>
                            <a:rect l="l" t="t" r="r" b="b"/>
                            <a:pathLst>
                              <a:path w="6678295" h="7620">
                                <a:moveTo>
                                  <a:pt x="6677996" y="7571"/>
                                </a:moveTo>
                                <a:lnTo>
                                  <a:pt x="0" y="7571"/>
                                </a:lnTo>
                                <a:lnTo>
                                  <a:pt x="7571" y="0"/>
                                </a:lnTo>
                                <a:lnTo>
                                  <a:pt x="6677996" y="0"/>
                                </a:lnTo>
                                <a:lnTo>
                                  <a:pt x="6677996" y="7571"/>
                                </a:lnTo>
                                <a:close/>
                              </a:path>
                            </a:pathLst>
                          </a:custGeom>
                          <a:solidFill>
                            <a:srgbClr val="EDEDED"/>
                          </a:solidFill>
                        </wps:spPr>
                        <wps:bodyPr wrap="square" lIns="0" tIns="0" rIns="0" bIns="0" rtlCol="0">
                          <a:prstTxWarp prst="textNoShape">
                            <a:avLst/>
                          </a:prstTxWarp>
                          <a:noAutofit/>
                        </wps:bodyPr>
                      </wps:wsp>
                      <wps:wsp>
                        <wps:cNvPr id="21" name="Graphic 21"/>
                        <wps:cNvSpPr/>
                        <wps:spPr>
                          <a:xfrm>
                            <a:off x="0" y="0"/>
                            <a:ext cx="7620" cy="15240"/>
                          </a:xfrm>
                          <a:custGeom>
                            <a:avLst/>
                            <a:gdLst/>
                            <a:ahLst/>
                            <a:cxnLst/>
                            <a:rect l="l" t="t" r="r" b="b"/>
                            <a:pathLst>
                              <a:path w="7620" h="15240">
                                <a:moveTo>
                                  <a:pt x="0" y="15142"/>
                                </a:moveTo>
                                <a:lnTo>
                                  <a:pt x="0" y="0"/>
                                </a:lnTo>
                                <a:lnTo>
                                  <a:pt x="7571" y="0"/>
                                </a:lnTo>
                                <a:lnTo>
                                  <a:pt x="7571" y="7571"/>
                                </a:lnTo>
                                <a:lnTo>
                                  <a:pt x="0" y="15142"/>
                                </a:lnTo>
                                <a:close/>
                              </a:path>
                            </a:pathLst>
                          </a:custGeom>
                          <a:solidFill>
                            <a:srgbClr val="999999"/>
                          </a:solidFill>
                        </wps:spPr>
                        <wps:bodyPr wrap="square" lIns="0" tIns="0" rIns="0" bIns="0" rtlCol="0">
                          <a:prstTxWarp prst="textNoShape">
                            <a:avLst/>
                          </a:prstTxWarp>
                          <a:noAutofit/>
                        </wps:bodyPr>
                      </wps:wsp>
                      <wps:wsp>
                        <wps:cNvPr id="22" name="Graphic 22"/>
                        <wps:cNvSpPr/>
                        <wps:spPr>
                          <a:xfrm>
                            <a:off x="6670425" y="0"/>
                            <a:ext cx="7620" cy="15240"/>
                          </a:xfrm>
                          <a:custGeom>
                            <a:avLst/>
                            <a:gdLst/>
                            <a:ahLst/>
                            <a:cxnLst/>
                            <a:rect l="l" t="t" r="r" b="b"/>
                            <a:pathLst>
                              <a:path w="7620" h="15240">
                                <a:moveTo>
                                  <a:pt x="7571" y="15142"/>
                                </a:moveTo>
                                <a:lnTo>
                                  <a:pt x="0" y="15142"/>
                                </a:lnTo>
                                <a:lnTo>
                                  <a:pt x="0" y="7571"/>
                                </a:lnTo>
                                <a:lnTo>
                                  <a:pt x="7571" y="0"/>
                                </a:lnTo>
                                <a:lnTo>
                                  <a:pt x="7571" y="15142"/>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34.46175pt;margin-top:6.731141pt;width:525.85pt;height:1.2pt;mso-position-horizontal-relative:page;mso-position-vertical-relative:paragraph;z-index:-15727616;mso-wrap-distance-left:0;mso-wrap-distance-right:0" id="docshapegroup13" coordorigin="689,135" coordsize="10517,24">
                <v:shape style="position:absolute;left:689;top:134;width:10517;height:12" id="docshape14" coordorigin="689,135" coordsize="10517,12" path="m11194,147l689,147,689,135,11206,135,11194,147xe" filled="true" fillcolor="#999999" stroked="false">
                  <v:path arrowok="t"/>
                  <v:fill type="solid"/>
                </v:shape>
                <v:shape style="position:absolute;left:689;top:146;width:10517;height:12" id="docshape15" coordorigin="689,147" coordsize="10517,12" path="m11206,158l689,158,701,147,11206,147,11206,158xe" filled="true" fillcolor="#ededed" stroked="false">
                  <v:path arrowok="t"/>
                  <v:fill type="solid"/>
                </v:shape>
                <v:shape style="position:absolute;left:689;top:134;width:12;height:24" id="docshape16" coordorigin="689,135" coordsize="12,24" path="m689,158l689,135,701,135,701,147,689,158xe" filled="true" fillcolor="#999999" stroked="false">
                  <v:path arrowok="t"/>
                  <v:fill type="solid"/>
                </v:shape>
                <v:shape style="position:absolute;left:11193;top:134;width:12;height:24" id="docshape17" coordorigin="11194,135" coordsize="12,24" path="m11206,158l11194,158,11194,147,11206,135,11206,158xe" filled="true" fillcolor="#ededed" stroked="false">
                  <v:path arrowok="t"/>
                  <v:fill type="solid"/>
                </v:shape>
                <w10:wrap type="topAndBottom"/>
              </v:group>
            </w:pict>
          </mc:Fallback>
        </mc:AlternateContent>
      </w:r>
    </w:p>
    <w:p>
      <w:pPr>
        <w:spacing w:line="249" w:lineRule="auto" w:before="197"/>
        <w:ind w:left="1530" w:right="245" w:firstLine="0"/>
        <w:jc w:val="left"/>
        <w:rPr>
          <w:sz w:val="21"/>
        </w:rPr>
      </w:pPr>
      <w:r>
        <w:rPr>
          <w:sz w:val="21"/>
        </w:rPr>
        <w:t>Documento assinado eletronicamente por </w:t>
      </w:r>
      <w:r>
        <w:rPr>
          <w:b/>
          <w:sz w:val="21"/>
        </w:rPr>
        <w:t>George Christian Linhares Bezerra</w:t>
      </w:r>
      <w:r>
        <w:rPr>
          <w:b/>
          <w:spacing w:val="-26"/>
          <w:sz w:val="21"/>
        </w:rPr>
        <w:t> </w:t>
      </w:r>
      <w:r>
        <w:rPr>
          <w:sz w:val="21"/>
        </w:rPr>
        <w:t>, </w:t>
      </w:r>
      <w:r>
        <w:rPr>
          <w:b/>
          <w:sz w:val="21"/>
        </w:rPr>
        <w:t>Conselheiro</w:t>
      </w:r>
      <w:r>
        <w:rPr>
          <w:sz w:val="21"/>
        </w:rPr>
        <w:t>, em 13/08/2026, às 17:19, conforme horário oficial de Brasília, com fundamento no art. 3°, inciso V, da Portaria nº 446/2015 do Ministério dos Transportes.</w:t>
      </w:r>
    </w:p>
    <w:p>
      <w:pPr>
        <w:pStyle w:val="BodyText"/>
        <w:spacing w:before="7"/>
        <w:ind w:left="0"/>
        <w:rPr>
          <w:sz w:val="9"/>
        </w:rPr>
      </w:pPr>
      <w:r>
        <w:rPr>
          <w:sz w:val="9"/>
        </w:rPr>
        <mc:AlternateContent>
          <mc:Choice Requires="wps">
            <w:drawing>
              <wp:anchor distT="0" distB="0" distL="0" distR="0" allowOverlap="1" layoutInCell="1" locked="0" behindDoc="1" simplePos="0" relativeHeight="487589376">
                <wp:simplePos x="0" y="0"/>
                <wp:positionH relativeFrom="page">
                  <wp:posOffset>437664</wp:posOffset>
                </wp:positionH>
                <wp:positionV relativeFrom="paragraph">
                  <wp:posOffset>85485</wp:posOffset>
                </wp:positionV>
                <wp:extent cx="6678295" cy="15240"/>
                <wp:effectExtent l="0" t="0" r="0" b="0"/>
                <wp:wrapTopAndBottom/>
                <wp:docPr id="23" name="Group 23"/>
                <wp:cNvGraphicFramePr>
                  <a:graphicFrameLocks/>
                </wp:cNvGraphicFramePr>
                <a:graphic>
                  <a:graphicData uri="http://schemas.microsoft.com/office/word/2010/wordprocessingGroup">
                    <wpg:wgp>
                      <wpg:cNvPr id="23" name="Group 23"/>
                      <wpg:cNvGrpSpPr/>
                      <wpg:grpSpPr>
                        <a:xfrm>
                          <a:off x="0" y="0"/>
                          <a:ext cx="6678295" cy="15240"/>
                          <a:chExt cx="6678295" cy="15240"/>
                        </a:xfrm>
                      </wpg:grpSpPr>
                      <wps:wsp>
                        <wps:cNvPr id="24" name="Graphic 24"/>
                        <wps:cNvSpPr/>
                        <wps:spPr>
                          <a:xfrm>
                            <a:off x="0" y="0"/>
                            <a:ext cx="6678295" cy="7620"/>
                          </a:xfrm>
                          <a:custGeom>
                            <a:avLst/>
                            <a:gdLst/>
                            <a:ahLst/>
                            <a:cxnLst/>
                            <a:rect l="l" t="t" r="r" b="b"/>
                            <a:pathLst>
                              <a:path w="6678295" h="7620">
                                <a:moveTo>
                                  <a:pt x="6670425" y="7571"/>
                                </a:moveTo>
                                <a:lnTo>
                                  <a:pt x="0" y="7571"/>
                                </a:lnTo>
                                <a:lnTo>
                                  <a:pt x="0" y="0"/>
                                </a:lnTo>
                                <a:lnTo>
                                  <a:pt x="6677996" y="0"/>
                                </a:lnTo>
                                <a:lnTo>
                                  <a:pt x="6670425" y="7571"/>
                                </a:lnTo>
                                <a:close/>
                              </a:path>
                            </a:pathLst>
                          </a:custGeom>
                          <a:solidFill>
                            <a:srgbClr val="999999"/>
                          </a:solidFill>
                        </wps:spPr>
                        <wps:bodyPr wrap="square" lIns="0" tIns="0" rIns="0" bIns="0" rtlCol="0">
                          <a:prstTxWarp prst="textNoShape">
                            <a:avLst/>
                          </a:prstTxWarp>
                          <a:noAutofit/>
                        </wps:bodyPr>
                      </wps:wsp>
                      <wps:wsp>
                        <wps:cNvPr id="25" name="Graphic 25"/>
                        <wps:cNvSpPr/>
                        <wps:spPr>
                          <a:xfrm>
                            <a:off x="0" y="7571"/>
                            <a:ext cx="6678295" cy="7620"/>
                          </a:xfrm>
                          <a:custGeom>
                            <a:avLst/>
                            <a:gdLst/>
                            <a:ahLst/>
                            <a:cxnLst/>
                            <a:rect l="l" t="t" r="r" b="b"/>
                            <a:pathLst>
                              <a:path w="6678295" h="7620">
                                <a:moveTo>
                                  <a:pt x="6677996" y="7571"/>
                                </a:moveTo>
                                <a:lnTo>
                                  <a:pt x="0" y="7571"/>
                                </a:lnTo>
                                <a:lnTo>
                                  <a:pt x="7571" y="0"/>
                                </a:lnTo>
                                <a:lnTo>
                                  <a:pt x="6677996" y="0"/>
                                </a:lnTo>
                                <a:lnTo>
                                  <a:pt x="6677996" y="7571"/>
                                </a:lnTo>
                                <a:close/>
                              </a:path>
                            </a:pathLst>
                          </a:custGeom>
                          <a:solidFill>
                            <a:srgbClr val="EDEDED"/>
                          </a:solidFill>
                        </wps:spPr>
                        <wps:bodyPr wrap="square" lIns="0" tIns="0" rIns="0" bIns="0" rtlCol="0">
                          <a:prstTxWarp prst="textNoShape">
                            <a:avLst/>
                          </a:prstTxWarp>
                          <a:noAutofit/>
                        </wps:bodyPr>
                      </wps:wsp>
                      <wps:wsp>
                        <wps:cNvPr id="26" name="Graphic 26"/>
                        <wps:cNvSpPr/>
                        <wps:spPr>
                          <a:xfrm>
                            <a:off x="0" y="0"/>
                            <a:ext cx="7620" cy="15240"/>
                          </a:xfrm>
                          <a:custGeom>
                            <a:avLst/>
                            <a:gdLst/>
                            <a:ahLst/>
                            <a:cxnLst/>
                            <a:rect l="l" t="t" r="r" b="b"/>
                            <a:pathLst>
                              <a:path w="7620" h="15240">
                                <a:moveTo>
                                  <a:pt x="0" y="15142"/>
                                </a:moveTo>
                                <a:lnTo>
                                  <a:pt x="0" y="0"/>
                                </a:lnTo>
                                <a:lnTo>
                                  <a:pt x="7571" y="0"/>
                                </a:lnTo>
                                <a:lnTo>
                                  <a:pt x="7571" y="7571"/>
                                </a:lnTo>
                                <a:lnTo>
                                  <a:pt x="0" y="15142"/>
                                </a:lnTo>
                                <a:close/>
                              </a:path>
                            </a:pathLst>
                          </a:custGeom>
                          <a:solidFill>
                            <a:srgbClr val="999999"/>
                          </a:solidFill>
                        </wps:spPr>
                        <wps:bodyPr wrap="square" lIns="0" tIns="0" rIns="0" bIns="0" rtlCol="0">
                          <a:prstTxWarp prst="textNoShape">
                            <a:avLst/>
                          </a:prstTxWarp>
                          <a:noAutofit/>
                        </wps:bodyPr>
                      </wps:wsp>
                      <wps:wsp>
                        <wps:cNvPr id="27" name="Graphic 27"/>
                        <wps:cNvSpPr/>
                        <wps:spPr>
                          <a:xfrm>
                            <a:off x="6670425" y="0"/>
                            <a:ext cx="7620" cy="15240"/>
                          </a:xfrm>
                          <a:custGeom>
                            <a:avLst/>
                            <a:gdLst/>
                            <a:ahLst/>
                            <a:cxnLst/>
                            <a:rect l="l" t="t" r="r" b="b"/>
                            <a:pathLst>
                              <a:path w="7620" h="15240">
                                <a:moveTo>
                                  <a:pt x="7571" y="15142"/>
                                </a:moveTo>
                                <a:lnTo>
                                  <a:pt x="0" y="15142"/>
                                </a:lnTo>
                                <a:lnTo>
                                  <a:pt x="0" y="7571"/>
                                </a:lnTo>
                                <a:lnTo>
                                  <a:pt x="7571" y="0"/>
                                </a:lnTo>
                                <a:lnTo>
                                  <a:pt x="7571" y="15142"/>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34.46175pt;margin-top:6.731141pt;width:525.85pt;height:1.2pt;mso-position-horizontal-relative:page;mso-position-vertical-relative:paragraph;z-index:-15727104;mso-wrap-distance-left:0;mso-wrap-distance-right:0" id="docshapegroup18" coordorigin="689,135" coordsize="10517,24">
                <v:shape style="position:absolute;left:689;top:134;width:10517;height:12" id="docshape19" coordorigin="689,135" coordsize="10517,12" path="m11194,147l689,147,689,135,11206,135,11194,147xe" filled="true" fillcolor="#999999" stroked="false">
                  <v:path arrowok="t"/>
                  <v:fill type="solid"/>
                </v:shape>
                <v:shape style="position:absolute;left:689;top:146;width:10517;height:12" id="docshape20" coordorigin="689,147" coordsize="10517,12" path="m11206,158l689,158,701,147,11206,147,11206,158xe" filled="true" fillcolor="#ededed" stroked="false">
                  <v:path arrowok="t"/>
                  <v:fill type="solid"/>
                </v:shape>
                <v:shape style="position:absolute;left:689;top:134;width:12;height:24" id="docshape21" coordorigin="689,135" coordsize="12,24" path="m689,158l689,135,701,135,701,147,689,158xe" filled="true" fillcolor="#999999" stroked="false">
                  <v:path arrowok="t"/>
                  <v:fill type="solid"/>
                </v:shape>
                <v:shape style="position:absolute;left:11193;top:134;width:12;height:24" id="docshape22" coordorigin="11194,135" coordsize="12,24" path="m11206,158l11194,158,11194,147,11206,135,11206,158xe" filled="true" fillcolor="#ededed" stroked="false">
                  <v:path arrowok="t"/>
                  <v:fill type="solid"/>
                </v:shape>
                <w10:wrap type="topAndBottom"/>
              </v:group>
            </w:pict>
          </mc:Fallback>
        </mc:AlternateContent>
      </w:r>
    </w:p>
    <w:p>
      <w:pPr>
        <w:spacing w:line="249" w:lineRule="auto" w:before="197"/>
        <w:ind w:left="1530" w:right="245" w:firstLine="0"/>
        <w:jc w:val="left"/>
        <w:rPr>
          <w:sz w:val="21"/>
        </w:rPr>
      </w:pPr>
      <w:r>
        <w:rPr>
          <w:sz w:val="21"/>
        </w:rPr>
        <w:t>Documento assinado eletronicamente por </w:t>
      </w:r>
      <w:r>
        <w:rPr>
          <w:b/>
          <w:sz w:val="21"/>
        </w:rPr>
        <w:t>BRUNO FERNANDES DA ROCHA BORBA</w:t>
      </w:r>
      <w:r>
        <w:rPr>
          <w:b/>
          <w:spacing w:val="-19"/>
          <w:sz w:val="21"/>
        </w:rPr>
        <w:t> </w:t>
      </w:r>
      <w:r>
        <w:rPr>
          <w:sz w:val="21"/>
        </w:rPr>
        <w:t>, </w:t>
      </w:r>
      <w:r>
        <w:rPr>
          <w:b/>
          <w:sz w:val="21"/>
        </w:rPr>
        <w:t>Conselheiro</w:t>
      </w:r>
      <w:r>
        <w:rPr>
          <w:sz w:val="21"/>
        </w:rPr>
        <w:t>, em 19/08/2026, às 14:54, conforme horário oficial de Brasília, com fundamento no art. 3°, inciso V, da Portaria nº 446/2015 do Ministério dos Transportes.</w:t>
      </w:r>
    </w:p>
    <w:p>
      <w:pPr>
        <w:pStyle w:val="BodyText"/>
        <w:spacing w:before="7"/>
        <w:ind w:left="0"/>
        <w:rPr>
          <w:sz w:val="9"/>
        </w:rPr>
      </w:pPr>
      <w:r>
        <w:rPr>
          <w:sz w:val="9"/>
        </w:rPr>
        <mc:AlternateContent>
          <mc:Choice Requires="wps">
            <w:drawing>
              <wp:anchor distT="0" distB="0" distL="0" distR="0" allowOverlap="1" layoutInCell="1" locked="0" behindDoc="1" simplePos="0" relativeHeight="487589888">
                <wp:simplePos x="0" y="0"/>
                <wp:positionH relativeFrom="page">
                  <wp:posOffset>437664</wp:posOffset>
                </wp:positionH>
                <wp:positionV relativeFrom="paragraph">
                  <wp:posOffset>85485</wp:posOffset>
                </wp:positionV>
                <wp:extent cx="6678295" cy="15240"/>
                <wp:effectExtent l="0" t="0" r="0" b="0"/>
                <wp:wrapTopAndBottom/>
                <wp:docPr id="28" name="Group 28"/>
                <wp:cNvGraphicFramePr>
                  <a:graphicFrameLocks/>
                </wp:cNvGraphicFramePr>
                <a:graphic>
                  <a:graphicData uri="http://schemas.microsoft.com/office/word/2010/wordprocessingGroup">
                    <wpg:wgp>
                      <wpg:cNvPr id="28" name="Group 28"/>
                      <wpg:cNvGrpSpPr/>
                      <wpg:grpSpPr>
                        <a:xfrm>
                          <a:off x="0" y="0"/>
                          <a:ext cx="6678295" cy="15240"/>
                          <a:chExt cx="6678295" cy="15240"/>
                        </a:xfrm>
                      </wpg:grpSpPr>
                      <wps:wsp>
                        <wps:cNvPr id="29" name="Graphic 29"/>
                        <wps:cNvSpPr/>
                        <wps:spPr>
                          <a:xfrm>
                            <a:off x="0" y="0"/>
                            <a:ext cx="6678295" cy="7620"/>
                          </a:xfrm>
                          <a:custGeom>
                            <a:avLst/>
                            <a:gdLst/>
                            <a:ahLst/>
                            <a:cxnLst/>
                            <a:rect l="l" t="t" r="r" b="b"/>
                            <a:pathLst>
                              <a:path w="6678295" h="7620">
                                <a:moveTo>
                                  <a:pt x="6670425" y="7571"/>
                                </a:moveTo>
                                <a:lnTo>
                                  <a:pt x="0" y="7571"/>
                                </a:lnTo>
                                <a:lnTo>
                                  <a:pt x="0" y="0"/>
                                </a:lnTo>
                                <a:lnTo>
                                  <a:pt x="6677996" y="0"/>
                                </a:lnTo>
                                <a:lnTo>
                                  <a:pt x="6670425" y="7571"/>
                                </a:lnTo>
                                <a:close/>
                              </a:path>
                            </a:pathLst>
                          </a:custGeom>
                          <a:solidFill>
                            <a:srgbClr val="999999"/>
                          </a:solidFill>
                        </wps:spPr>
                        <wps:bodyPr wrap="square" lIns="0" tIns="0" rIns="0" bIns="0" rtlCol="0">
                          <a:prstTxWarp prst="textNoShape">
                            <a:avLst/>
                          </a:prstTxWarp>
                          <a:noAutofit/>
                        </wps:bodyPr>
                      </wps:wsp>
                      <wps:wsp>
                        <wps:cNvPr id="30" name="Graphic 30"/>
                        <wps:cNvSpPr/>
                        <wps:spPr>
                          <a:xfrm>
                            <a:off x="0" y="7571"/>
                            <a:ext cx="6678295" cy="7620"/>
                          </a:xfrm>
                          <a:custGeom>
                            <a:avLst/>
                            <a:gdLst/>
                            <a:ahLst/>
                            <a:cxnLst/>
                            <a:rect l="l" t="t" r="r" b="b"/>
                            <a:pathLst>
                              <a:path w="6678295" h="7620">
                                <a:moveTo>
                                  <a:pt x="6677996" y="7571"/>
                                </a:moveTo>
                                <a:lnTo>
                                  <a:pt x="0" y="7571"/>
                                </a:lnTo>
                                <a:lnTo>
                                  <a:pt x="7571" y="0"/>
                                </a:lnTo>
                                <a:lnTo>
                                  <a:pt x="6677996" y="0"/>
                                </a:lnTo>
                                <a:lnTo>
                                  <a:pt x="6677996" y="7571"/>
                                </a:lnTo>
                                <a:close/>
                              </a:path>
                            </a:pathLst>
                          </a:custGeom>
                          <a:solidFill>
                            <a:srgbClr val="EDEDED"/>
                          </a:solidFill>
                        </wps:spPr>
                        <wps:bodyPr wrap="square" lIns="0" tIns="0" rIns="0" bIns="0" rtlCol="0">
                          <a:prstTxWarp prst="textNoShape">
                            <a:avLst/>
                          </a:prstTxWarp>
                          <a:noAutofit/>
                        </wps:bodyPr>
                      </wps:wsp>
                      <wps:wsp>
                        <wps:cNvPr id="31" name="Graphic 31"/>
                        <wps:cNvSpPr/>
                        <wps:spPr>
                          <a:xfrm>
                            <a:off x="0" y="0"/>
                            <a:ext cx="7620" cy="15240"/>
                          </a:xfrm>
                          <a:custGeom>
                            <a:avLst/>
                            <a:gdLst/>
                            <a:ahLst/>
                            <a:cxnLst/>
                            <a:rect l="l" t="t" r="r" b="b"/>
                            <a:pathLst>
                              <a:path w="7620" h="15240">
                                <a:moveTo>
                                  <a:pt x="0" y="15142"/>
                                </a:moveTo>
                                <a:lnTo>
                                  <a:pt x="0" y="0"/>
                                </a:lnTo>
                                <a:lnTo>
                                  <a:pt x="7571" y="0"/>
                                </a:lnTo>
                                <a:lnTo>
                                  <a:pt x="7571" y="7571"/>
                                </a:lnTo>
                                <a:lnTo>
                                  <a:pt x="0" y="15142"/>
                                </a:lnTo>
                                <a:close/>
                              </a:path>
                            </a:pathLst>
                          </a:custGeom>
                          <a:solidFill>
                            <a:srgbClr val="999999"/>
                          </a:solidFill>
                        </wps:spPr>
                        <wps:bodyPr wrap="square" lIns="0" tIns="0" rIns="0" bIns="0" rtlCol="0">
                          <a:prstTxWarp prst="textNoShape">
                            <a:avLst/>
                          </a:prstTxWarp>
                          <a:noAutofit/>
                        </wps:bodyPr>
                      </wps:wsp>
                      <wps:wsp>
                        <wps:cNvPr id="32" name="Graphic 32"/>
                        <wps:cNvSpPr/>
                        <wps:spPr>
                          <a:xfrm>
                            <a:off x="6670425" y="0"/>
                            <a:ext cx="7620" cy="15240"/>
                          </a:xfrm>
                          <a:custGeom>
                            <a:avLst/>
                            <a:gdLst/>
                            <a:ahLst/>
                            <a:cxnLst/>
                            <a:rect l="l" t="t" r="r" b="b"/>
                            <a:pathLst>
                              <a:path w="7620" h="15240">
                                <a:moveTo>
                                  <a:pt x="7571" y="15142"/>
                                </a:moveTo>
                                <a:lnTo>
                                  <a:pt x="0" y="15142"/>
                                </a:lnTo>
                                <a:lnTo>
                                  <a:pt x="0" y="7571"/>
                                </a:lnTo>
                                <a:lnTo>
                                  <a:pt x="7571" y="0"/>
                                </a:lnTo>
                                <a:lnTo>
                                  <a:pt x="7571" y="15142"/>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34.46175pt;margin-top:6.731134pt;width:525.85pt;height:1.2pt;mso-position-horizontal-relative:page;mso-position-vertical-relative:paragraph;z-index:-15726592;mso-wrap-distance-left:0;mso-wrap-distance-right:0" id="docshapegroup23" coordorigin="689,135" coordsize="10517,24">
                <v:shape style="position:absolute;left:689;top:134;width:10517;height:12" id="docshape24" coordorigin="689,135" coordsize="10517,12" path="m11194,147l689,147,689,135,11206,135,11194,147xe" filled="true" fillcolor="#999999" stroked="false">
                  <v:path arrowok="t"/>
                  <v:fill type="solid"/>
                </v:shape>
                <v:shape style="position:absolute;left:689;top:146;width:10517;height:12" id="docshape25" coordorigin="689,147" coordsize="10517,12" path="m11206,158l689,158,701,147,11206,147,11206,158xe" filled="true" fillcolor="#ededed" stroked="false">
                  <v:path arrowok="t"/>
                  <v:fill type="solid"/>
                </v:shape>
                <v:shape style="position:absolute;left:689;top:134;width:12;height:24" id="docshape26" coordorigin="689,135" coordsize="12,24" path="m689,158l689,135,701,135,701,147,689,158xe" filled="true" fillcolor="#999999" stroked="false">
                  <v:path arrowok="t"/>
                  <v:fill type="solid"/>
                </v:shape>
                <v:shape style="position:absolute;left:11193;top:134;width:12;height:24" id="docshape27" coordorigin="11194,135" coordsize="12,24" path="m11206,158l11194,158,11194,147,11206,135,11206,158xe" filled="true" fillcolor="#ededed" stroked="false">
                  <v:path arrowok="t"/>
                  <v:fill type="solid"/>
                </v:shape>
                <w10:wrap type="topAndBottom"/>
              </v:group>
            </w:pict>
          </mc:Fallback>
        </mc:AlternateContent>
      </w:r>
    </w:p>
    <w:p>
      <w:pPr>
        <w:pStyle w:val="BodyText"/>
        <w:spacing w:after="0"/>
        <w:rPr>
          <w:sz w:val="9"/>
        </w:rPr>
        <w:sectPr>
          <w:pgSz w:w="11900" w:h="16840"/>
          <w:pgMar w:header="0" w:footer="181" w:top="500" w:bottom="380" w:left="566" w:right="566"/>
        </w:sectPr>
      </w:pPr>
    </w:p>
    <w:p>
      <w:pPr>
        <w:spacing w:line="249" w:lineRule="auto" w:before="99"/>
        <w:ind w:left="1482" w:right="0" w:firstLine="0"/>
        <w:jc w:val="left"/>
        <w:rPr>
          <w:sz w:val="21"/>
        </w:rPr>
      </w:pPr>
      <w:r>
        <w:rPr>
          <w:sz w:val="21"/>
        </w:rPr>
        <w:drawing>
          <wp:anchor distT="0" distB="0" distL="0" distR="0" allowOverlap="1" layoutInCell="1" locked="0" behindDoc="0" simplePos="0" relativeHeight="15734272">
            <wp:simplePos x="0" y="0"/>
            <wp:positionH relativeFrom="page">
              <wp:posOffset>479219</wp:posOffset>
            </wp:positionH>
            <wp:positionV relativeFrom="paragraph">
              <wp:posOffset>-5338</wp:posOffset>
            </wp:positionV>
            <wp:extent cx="772461" cy="772461"/>
            <wp:effectExtent l="0" t="0" r="0" b="0"/>
            <wp:wrapNone/>
            <wp:docPr id="33" name="Image 33"/>
            <wp:cNvGraphicFramePr>
              <a:graphicFrameLocks/>
            </wp:cNvGraphicFramePr>
            <a:graphic>
              <a:graphicData uri="http://schemas.openxmlformats.org/drawingml/2006/picture">
                <pic:pic>
                  <pic:nvPicPr>
                    <pic:cNvPr id="33" name="Image 33"/>
                    <pic:cNvPicPr/>
                  </pic:nvPicPr>
                  <pic:blipFill>
                    <a:blip r:embed="rId8" cstate="print"/>
                    <a:stretch>
                      <a:fillRect/>
                    </a:stretch>
                  </pic:blipFill>
                  <pic:spPr>
                    <a:xfrm>
                      <a:off x="0" y="0"/>
                      <a:ext cx="772461" cy="772461"/>
                    </a:xfrm>
                    <a:prstGeom prst="rect">
                      <a:avLst/>
                    </a:prstGeom>
                  </pic:spPr>
                </pic:pic>
              </a:graphicData>
            </a:graphic>
          </wp:anchor>
        </w:drawing>
      </w:r>
      <w:r>
        <w:rPr>
          <w:sz w:val="21"/>
        </w:rPr>
        <w:t>A autenticidade deste documento pode ser conferida no site </w:t>
      </w:r>
      <w:hyperlink r:id="rId9">
        <w:r>
          <w:rPr>
            <w:spacing w:val="-2"/>
            <w:sz w:val="21"/>
          </w:rPr>
          <w:t>https://sei.transportes.gov.br/sei/controlador_externo.php? acao=documento_conferir&amp;acao_origem=documento_conferir&amp;lang=pt_BR&amp;id_orgao_acesso_externo=0</w:t>
        </w:r>
      </w:hyperlink>
      <w:r>
        <w:rPr>
          <w:spacing w:val="-2"/>
          <w:sz w:val="21"/>
        </w:rPr>
        <w:t>,</w:t>
      </w:r>
      <w:r>
        <w:rPr>
          <w:spacing w:val="40"/>
          <w:sz w:val="21"/>
        </w:rPr>
        <w:t>  </w:t>
      </w:r>
      <w:r>
        <w:rPr>
          <w:sz w:val="21"/>
        </w:rPr>
        <w:t>informando o código verificador </w:t>
      </w:r>
      <w:r>
        <w:rPr>
          <w:b/>
          <w:sz w:val="21"/>
        </w:rPr>
        <w:t>11602938 </w:t>
      </w:r>
      <w:r>
        <w:rPr>
          <w:sz w:val="21"/>
        </w:rPr>
        <w:t>e o código CRC</w:t>
      </w:r>
      <w:r>
        <w:rPr>
          <w:spacing w:val="40"/>
          <w:sz w:val="21"/>
        </w:rPr>
        <w:t> </w:t>
      </w:r>
      <w:r>
        <w:rPr>
          <w:b/>
          <w:sz w:val="21"/>
        </w:rPr>
        <w:t>1443D528</w:t>
      </w:r>
      <w:r>
        <w:rPr>
          <w:sz w:val="21"/>
        </w:rPr>
        <w:t>.</w:t>
      </w:r>
    </w:p>
    <w:p>
      <w:pPr>
        <w:pStyle w:val="BodyText"/>
        <w:spacing w:before="8"/>
        <w:ind w:left="0"/>
        <w:rPr>
          <w:sz w:val="13"/>
        </w:rPr>
      </w:pPr>
      <w:r>
        <w:rPr>
          <w:sz w:val="13"/>
        </w:rPr>
        <mc:AlternateContent>
          <mc:Choice Requires="wps">
            <w:drawing>
              <wp:anchor distT="0" distB="0" distL="0" distR="0" allowOverlap="1" layoutInCell="1" locked="0" behindDoc="1" simplePos="0" relativeHeight="487592448">
                <wp:simplePos x="0" y="0"/>
                <wp:positionH relativeFrom="page">
                  <wp:posOffset>445235</wp:posOffset>
                </wp:positionH>
                <wp:positionV relativeFrom="paragraph">
                  <wp:posOffset>115492</wp:posOffset>
                </wp:positionV>
                <wp:extent cx="6663055" cy="15240"/>
                <wp:effectExtent l="0" t="0" r="0" b="0"/>
                <wp:wrapTopAndBottom/>
                <wp:docPr id="34" name="Group 34"/>
                <wp:cNvGraphicFramePr>
                  <a:graphicFrameLocks/>
                </wp:cNvGraphicFramePr>
                <a:graphic>
                  <a:graphicData uri="http://schemas.microsoft.com/office/word/2010/wordprocessingGroup">
                    <wpg:wgp>
                      <wpg:cNvPr id="34" name="Group 34"/>
                      <wpg:cNvGrpSpPr/>
                      <wpg:grpSpPr>
                        <a:xfrm>
                          <a:off x="0" y="0"/>
                          <a:ext cx="6663055" cy="15240"/>
                          <a:chExt cx="6663055" cy="15240"/>
                        </a:xfrm>
                      </wpg:grpSpPr>
                      <wps:wsp>
                        <wps:cNvPr id="35" name="Graphic 35"/>
                        <wps:cNvSpPr/>
                        <wps:spPr>
                          <a:xfrm>
                            <a:off x="0" y="0"/>
                            <a:ext cx="6663055" cy="7620"/>
                          </a:xfrm>
                          <a:custGeom>
                            <a:avLst/>
                            <a:gdLst/>
                            <a:ahLst/>
                            <a:cxnLst/>
                            <a:rect l="l" t="t" r="r" b="b"/>
                            <a:pathLst>
                              <a:path w="6663055" h="7620">
                                <a:moveTo>
                                  <a:pt x="6655282" y="7571"/>
                                </a:moveTo>
                                <a:lnTo>
                                  <a:pt x="0" y="7571"/>
                                </a:lnTo>
                                <a:lnTo>
                                  <a:pt x="0" y="0"/>
                                </a:lnTo>
                                <a:lnTo>
                                  <a:pt x="6662853" y="0"/>
                                </a:lnTo>
                                <a:lnTo>
                                  <a:pt x="6655282" y="7571"/>
                                </a:lnTo>
                                <a:close/>
                              </a:path>
                            </a:pathLst>
                          </a:custGeom>
                          <a:solidFill>
                            <a:srgbClr val="999999"/>
                          </a:solidFill>
                        </wps:spPr>
                        <wps:bodyPr wrap="square" lIns="0" tIns="0" rIns="0" bIns="0" rtlCol="0">
                          <a:prstTxWarp prst="textNoShape">
                            <a:avLst/>
                          </a:prstTxWarp>
                          <a:noAutofit/>
                        </wps:bodyPr>
                      </wps:wsp>
                      <wps:wsp>
                        <wps:cNvPr id="36" name="Graphic 36"/>
                        <wps:cNvSpPr/>
                        <wps:spPr>
                          <a:xfrm>
                            <a:off x="0" y="7571"/>
                            <a:ext cx="6663055" cy="7620"/>
                          </a:xfrm>
                          <a:custGeom>
                            <a:avLst/>
                            <a:gdLst/>
                            <a:ahLst/>
                            <a:cxnLst/>
                            <a:rect l="l" t="t" r="r" b="b"/>
                            <a:pathLst>
                              <a:path w="6663055" h="7620">
                                <a:moveTo>
                                  <a:pt x="6662853" y="7571"/>
                                </a:moveTo>
                                <a:lnTo>
                                  <a:pt x="0" y="7571"/>
                                </a:lnTo>
                                <a:lnTo>
                                  <a:pt x="7571" y="0"/>
                                </a:lnTo>
                                <a:lnTo>
                                  <a:pt x="6662853" y="0"/>
                                </a:lnTo>
                                <a:lnTo>
                                  <a:pt x="6662853" y="7571"/>
                                </a:lnTo>
                                <a:close/>
                              </a:path>
                            </a:pathLst>
                          </a:custGeom>
                          <a:solidFill>
                            <a:srgbClr val="EDEDED"/>
                          </a:solidFill>
                        </wps:spPr>
                        <wps:bodyPr wrap="square" lIns="0" tIns="0" rIns="0" bIns="0" rtlCol="0">
                          <a:prstTxWarp prst="textNoShape">
                            <a:avLst/>
                          </a:prstTxWarp>
                          <a:noAutofit/>
                        </wps:bodyPr>
                      </wps:wsp>
                      <wps:wsp>
                        <wps:cNvPr id="37" name="Graphic 37"/>
                        <wps:cNvSpPr/>
                        <wps:spPr>
                          <a:xfrm>
                            <a:off x="0" y="0"/>
                            <a:ext cx="7620" cy="15240"/>
                          </a:xfrm>
                          <a:custGeom>
                            <a:avLst/>
                            <a:gdLst/>
                            <a:ahLst/>
                            <a:cxnLst/>
                            <a:rect l="l" t="t" r="r" b="b"/>
                            <a:pathLst>
                              <a:path w="7620" h="15240">
                                <a:moveTo>
                                  <a:pt x="0" y="15142"/>
                                </a:moveTo>
                                <a:lnTo>
                                  <a:pt x="0" y="0"/>
                                </a:lnTo>
                                <a:lnTo>
                                  <a:pt x="7571" y="0"/>
                                </a:lnTo>
                                <a:lnTo>
                                  <a:pt x="7571" y="7571"/>
                                </a:lnTo>
                                <a:lnTo>
                                  <a:pt x="0" y="15142"/>
                                </a:lnTo>
                                <a:close/>
                              </a:path>
                            </a:pathLst>
                          </a:custGeom>
                          <a:solidFill>
                            <a:srgbClr val="999999"/>
                          </a:solidFill>
                        </wps:spPr>
                        <wps:bodyPr wrap="square" lIns="0" tIns="0" rIns="0" bIns="0" rtlCol="0">
                          <a:prstTxWarp prst="textNoShape">
                            <a:avLst/>
                          </a:prstTxWarp>
                          <a:noAutofit/>
                        </wps:bodyPr>
                      </wps:wsp>
                      <wps:wsp>
                        <wps:cNvPr id="38" name="Graphic 38"/>
                        <wps:cNvSpPr/>
                        <wps:spPr>
                          <a:xfrm>
                            <a:off x="6655282" y="0"/>
                            <a:ext cx="7620" cy="15240"/>
                          </a:xfrm>
                          <a:custGeom>
                            <a:avLst/>
                            <a:gdLst/>
                            <a:ahLst/>
                            <a:cxnLst/>
                            <a:rect l="l" t="t" r="r" b="b"/>
                            <a:pathLst>
                              <a:path w="7620" h="15240">
                                <a:moveTo>
                                  <a:pt x="7571" y="15142"/>
                                </a:moveTo>
                                <a:lnTo>
                                  <a:pt x="0" y="15142"/>
                                </a:lnTo>
                                <a:lnTo>
                                  <a:pt x="0" y="7571"/>
                                </a:lnTo>
                                <a:lnTo>
                                  <a:pt x="7571" y="0"/>
                                </a:lnTo>
                                <a:lnTo>
                                  <a:pt x="7571" y="15142"/>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35.057926pt;margin-top:9.093885pt;width:524.65pt;height:1.2pt;mso-position-horizontal-relative:page;mso-position-vertical-relative:paragraph;z-index:-15724032;mso-wrap-distance-left:0;mso-wrap-distance-right:0" id="docshapegroup28" coordorigin="701,182" coordsize="10493,24">
                <v:shape style="position:absolute;left:701;top:181;width:10493;height:12" id="docshape29" coordorigin="701,182" coordsize="10493,12" path="m11182,194l701,194,701,182,11194,182,11182,194xe" filled="true" fillcolor="#999999" stroked="false">
                  <v:path arrowok="t"/>
                  <v:fill type="solid"/>
                </v:shape>
                <v:shape style="position:absolute;left:701;top:193;width:10493;height:12" id="docshape30" coordorigin="701,194" coordsize="10493,12" path="m11194,206l701,206,713,194,11194,194,11194,206xe" filled="true" fillcolor="#ededed" stroked="false">
                  <v:path arrowok="t"/>
                  <v:fill type="solid"/>
                </v:shape>
                <v:shape style="position:absolute;left:701;top:181;width:12;height:24" id="docshape31" coordorigin="701,182" coordsize="12,24" path="m701,206l701,182,713,182,713,194,701,206xe" filled="true" fillcolor="#999999" stroked="false">
                  <v:path arrowok="t"/>
                  <v:fill type="solid"/>
                </v:shape>
                <v:shape style="position:absolute;left:11181;top:181;width:12;height:24" id="docshape32" coordorigin="11182,182" coordsize="12,24" path="m11194,206l11182,206,11182,194,11194,182,11194,206xe" filled="true" fillcolor="#ededed" stroked="false">
                  <v:path arrowok="t"/>
                  <v:fill type="solid"/>
                </v:shape>
                <w10:wrap type="topAndBottom"/>
              </v:group>
            </w:pict>
          </mc:Fallback>
        </mc:AlternateContent>
      </w:r>
      <w:r>
        <w:rPr>
          <w:sz w:val="13"/>
        </w:rPr>
        <mc:AlternateContent>
          <mc:Choice Requires="wps">
            <w:drawing>
              <wp:anchor distT="0" distB="0" distL="0" distR="0" allowOverlap="1" layoutInCell="1" locked="0" behindDoc="1" simplePos="0" relativeHeight="487592960">
                <wp:simplePos x="0" y="0"/>
                <wp:positionH relativeFrom="page">
                  <wp:posOffset>452807</wp:posOffset>
                </wp:positionH>
                <wp:positionV relativeFrom="paragraph">
                  <wp:posOffset>357781</wp:posOffset>
                </wp:positionV>
                <wp:extent cx="6647815" cy="309245"/>
                <wp:effectExtent l="0" t="0" r="0" b="0"/>
                <wp:wrapTopAndBottom/>
                <wp:docPr id="39" name="Group 39"/>
                <wp:cNvGraphicFramePr>
                  <a:graphicFrameLocks/>
                </wp:cNvGraphicFramePr>
                <a:graphic>
                  <a:graphicData uri="http://schemas.microsoft.com/office/word/2010/wordprocessingGroup">
                    <wpg:wgp>
                      <wpg:cNvPr id="39" name="Group 39"/>
                      <wpg:cNvGrpSpPr/>
                      <wpg:grpSpPr>
                        <a:xfrm>
                          <a:off x="0" y="0"/>
                          <a:ext cx="6647815" cy="309245"/>
                          <a:chExt cx="6647815" cy="309245"/>
                        </a:xfrm>
                      </wpg:grpSpPr>
                      <wps:wsp>
                        <wps:cNvPr id="40" name="Graphic 40"/>
                        <wps:cNvSpPr/>
                        <wps:spPr>
                          <a:xfrm>
                            <a:off x="-1" y="6"/>
                            <a:ext cx="6647815" cy="22860"/>
                          </a:xfrm>
                          <a:custGeom>
                            <a:avLst/>
                            <a:gdLst/>
                            <a:ahLst/>
                            <a:cxnLst/>
                            <a:rect l="l" t="t" r="r" b="b"/>
                            <a:pathLst>
                              <a:path w="6647815" h="22860">
                                <a:moveTo>
                                  <a:pt x="6647701" y="15138"/>
                                </a:moveTo>
                                <a:lnTo>
                                  <a:pt x="0" y="15138"/>
                                </a:lnTo>
                                <a:lnTo>
                                  <a:pt x="0" y="22707"/>
                                </a:lnTo>
                                <a:lnTo>
                                  <a:pt x="6647701" y="22707"/>
                                </a:lnTo>
                                <a:lnTo>
                                  <a:pt x="6647701" y="15138"/>
                                </a:lnTo>
                                <a:close/>
                              </a:path>
                              <a:path w="6647815" h="22860">
                                <a:moveTo>
                                  <a:pt x="6647701" y="0"/>
                                </a:moveTo>
                                <a:lnTo>
                                  <a:pt x="0" y="0"/>
                                </a:lnTo>
                                <a:lnTo>
                                  <a:pt x="0" y="7569"/>
                                </a:lnTo>
                                <a:lnTo>
                                  <a:pt x="6647701" y="7569"/>
                                </a:lnTo>
                                <a:lnTo>
                                  <a:pt x="6647701" y="0"/>
                                </a:lnTo>
                                <a:close/>
                              </a:path>
                            </a:pathLst>
                          </a:custGeom>
                          <a:solidFill>
                            <a:srgbClr val="333333"/>
                          </a:solidFill>
                        </wps:spPr>
                        <wps:bodyPr wrap="square" lIns="0" tIns="0" rIns="0" bIns="0" rtlCol="0">
                          <a:prstTxWarp prst="textNoShape">
                            <a:avLst/>
                          </a:prstTxWarp>
                          <a:noAutofit/>
                        </wps:bodyPr>
                      </wps:wsp>
                      <pic:pic>
                        <pic:nvPicPr>
                          <pic:cNvPr id="41" name="Image 41"/>
                          <pic:cNvPicPr/>
                        </pic:nvPicPr>
                        <pic:blipFill>
                          <a:blip r:embed="rId10" cstate="print"/>
                          <a:stretch>
                            <a:fillRect/>
                          </a:stretch>
                        </pic:blipFill>
                        <pic:spPr>
                          <a:xfrm>
                            <a:off x="18883" y="56530"/>
                            <a:ext cx="2322647" cy="252128"/>
                          </a:xfrm>
                          <a:prstGeom prst="rect">
                            <a:avLst/>
                          </a:prstGeom>
                        </pic:spPr>
                      </pic:pic>
                      <pic:pic>
                        <pic:nvPicPr>
                          <pic:cNvPr id="42" name="Image 42"/>
                          <pic:cNvPicPr/>
                        </pic:nvPicPr>
                        <pic:blipFill>
                          <a:blip r:embed="rId11" cstate="print"/>
                          <a:stretch>
                            <a:fillRect/>
                          </a:stretch>
                        </pic:blipFill>
                        <pic:spPr>
                          <a:xfrm>
                            <a:off x="5402155" y="56530"/>
                            <a:ext cx="1217247" cy="252128"/>
                          </a:xfrm>
                          <a:prstGeom prst="rect">
                            <a:avLst/>
                          </a:prstGeom>
                        </pic:spPr>
                      </pic:pic>
                    </wpg:wgp>
                  </a:graphicData>
                </a:graphic>
              </wp:anchor>
            </w:drawing>
          </mc:Choice>
          <mc:Fallback>
            <w:pict>
              <v:group style="position:absolute;margin-left:35.654102pt;margin-top:28.171751pt;width:523.4500pt;height:24.35pt;mso-position-horizontal-relative:page;mso-position-vertical-relative:paragraph;z-index:-15723520;mso-wrap-distance-left:0;mso-wrap-distance-right:0" id="docshapegroup33" coordorigin="713,563" coordsize="10469,487">
                <v:shape style="position:absolute;left:713;top:563;width:10469;height:36" id="docshape34" coordorigin="713,563" coordsize="10469,36" path="m11182,587l713,587,713,599,11182,599,11182,587xm11182,563l713,563,713,575,11182,575,11182,563xe" filled="true" fillcolor="#333333" stroked="false">
                  <v:path arrowok="t"/>
                  <v:fill type="solid"/>
                </v:shape>
                <v:shape style="position:absolute;left:742;top:652;width:3658;height:398" type="#_x0000_t75" id="docshape35" stroked="false">
                  <v:imagedata r:id="rId10" o:title=""/>
                </v:shape>
                <v:shape style="position:absolute;left:9220;top:652;width:1917;height:398" type="#_x0000_t75" id="docshape36" stroked="false">
                  <v:imagedata r:id="rId11" o:title=""/>
                </v:shape>
                <w10:wrap type="topAndBottom"/>
              </v:group>
            </w:pict>
          </mc:Fallback>
        </mc:AlternateContent>
      </w:r>
    </w:p>
    <w:p>
      <w:pPr>
        <w:pStyle w:val="BodyText"/>
        <w:spacing w:before="103"/>
        <w:ind w:left="0"/>
        <w:rPr>
          <w:sz w:val="20"/>
        </w:rPr>
      </w:pPr>
    </w:p>
    <w:p>
      <w:pPr>
        <w:tabs>
          <w:tab w:pos="9399" w:val="left" w:leader="none"/>
        </w:tabs>
        <w:spacing w:before="61"/>
        <w:ind w:left="147" w:right="0" w:firstLine="0"/>
        <w:jc w:val="left"/>
        <w:rPr>
          <w:sz w:val="18"/>
        </w:rPr>
      </w:pPr>
      <w:r>
        <w:rPr>
          <w:b/>
          <w:spacing w:val="-2"/>
          <w:sz w:val="18"/>
        </w:rPr>
        <w:t>Referência:</w:t>
      </w:r>
      <w:r>
        <w:rPr>
          <w:b/>
          <w:spacing w:val="7"/>
          <w:sz w:val="18"/>
        </w:rPr>
        <w:t> </w:t>
      </w:r>
      <w:r>
        <w:rPr>
          <w:spacing w:val="-2"/>
          <w:sz w:val="18"/>
        </w:rPr>
        <w:t>Processo</w:t>
      </w:r>
      <w:r>
        <w:rPr>
          <w:spacing w:val="9"/>
          <w:sz w:val="18"/>
        </w:rPr>
        <w:t> </w:t>
      </w:r>
      <w:r>
        <w:rPr>
          <w:spacing w:val="-2"/>
          <w:sz w:val="18"/>
        </w:rPr>
        <w:t>nº</w:t>
      </w:r>
      <w:r>
        <w:rPr>
          <w:spacing w:val="9"/>
          <w:sz w:val="18"/>
        </w:rPr>
        <w:t> </w:t>
      </w:r>
      <w:r>
        <w:rPr>
          <w:spacing w:val="-2"/>
          <w:sz w:val="18"/>
        </w:rPr>
        <w:t>50900.000128/2021-</w:t>
      </w:r>
      <w:r>
        <w:rPr>
          <w:spacing w:val="-5"/>
          <w:sz w:val="18"/>
        </w:rPr>
        <w:t>31</w:t>
      </w:r>
      <w:r>
        <w:rPr>
          <w:sz w:val="18"/>
        </w:rPr>
        <w:tab/>
        <w:t>SEI</w:t>
      </w:r>
      <w:r>
        <w:rPr>
          <w:spacing w:val="-5"/>
          <w:sz w:val="18"/>
        </w:rPr>
        <w:t> </w:t>
      </w:r>
      <w:r>
        <w:rPr>
          <w:sz w:val="18"/>
        </w:rPr>
        <w:t>nº</w:t>
      </w:r>
      <w:r>
        <w:rPr>
          <w:spacing w:val="-4"/>
          <w:sz w:val="18"/>
        </w:rPr>
        <w:t> </w:t>
      </w:r>
      <w:r>
        <w:rPr>
          <w:spacing w:val="-2"/>
          <w:sz w:val="18"/>
        </w:rPr>
        <w:t>11602938</w:t>
      </w:r>
    </w:p>
    <w:p>
      <w:pPr>
        <w:pStyle w:val="BodyText"/>
        <w:spacing w:before="63"/>
        <w:ind w:left="0"/>
        <w:rPr>
          <w:sz w:val="18"/>
        </w:rPr>
      </w:pPr>
    </w:p>
    <w:p>
      <w:pPr>
        <w:spacing w:line="249" w:lineRule="auto" w:before="0"/>
        <w:ind w:left="147" w:right="6095" w:firstLine="0"/>
        <w:jc w:val="left"/>
        <w:rPr>
          <w:sz w:val="18"/>
        </w:rPr>
      </w:pPr>
      <w:r>
        <w:rPr>
          <w:sz w:val="18"/>
        </w:rPr>
        <w:t>Praça</w:t>
      </w:r>
      <w:r>
        <w:rPr>
          <w:spacing w:val="-9"/>
          <w:sz w:val="18"/>
        </w:rPr>
        <w:t> </w:t>
      </w:r>
      <w:r>
        <w:rPr>
          <w:sz w:val="18"/>
        </w:rPr>
        <w:t>Amigos</w:t>
      </w:r>
      <w:r>
        <w:rPr>
          <w:spacing w:val="-9"/>
          <w:sz w:val="18"/>
        </w:rPr>
        <w:t> </w:t>
      </w:r>
      <w:r>
        <w:rPr>
          <w:sz w:val="18"/>
        </w:rPr>
        <w:t>da</w:t>
      </w:r>
      <w:r>
        <w:rPr>
          <w:spacing w:val="-9"/>
          <w:sz w:val="18"/>
        </w:rPr>
        <w:t> </w:t>
      </w:r>
      <w:r>
        <w:rPr>
          <w:sz w:val="18"/>
        </w:rPr>
        <w:t>Marinha,</w:t>
      </w:r>
      <w:r>
        <w:rPr>
          <w:spacing w:val="-9"/>
          <w:sz w:val="18"/>
        </w:rPr>
        <w:t> </w:t>
      </w:r>
      <w:r>
        <w:rPr>
          <w:sz w:val="18"/>
        </w:rPr>
        <w:t>S/N</w:t>
      </w:r>
      <w:r>
        <w:rPr>
          <w:spacing w:val="-4"/>
          <w:sz w:val="18"/>
        </w:rPr>
        <w:t> </w:t>
      </w:r>
      <w:r>
        <w:rPr>
          <w:sz w:val="18"/>
        </w:rPr>
        <w:t>-</w:t>
      </w:r>
      <w:r>
        <w:rPr>
          <w:spacing w:val="-9"/>
          <w:sz w:val="18"/>
        </w:rPr>
        <w:t> </w:t>
      </w:r>
      <w:r>
        <w:rPr>
          <w:sz w:val="18"/>
        </w:rPr>
        <w:t>Bairro</w:t>
      </w:r>
      <w:r>
        <w:rPr>
          <w:spacing w:val="-9"/>
          <w:sz w:val="18"/>
        </w:rPr>
        <w:t> </w:t>
      </w:r>
      <w:r>
        <w:rPr>
          <w:sz w:val="18"/>
        </w:rPr>
        <w:t>Mucuripe Fortaleza/CE, CEP 60.180-422</w:t>
      </w:r>
    </w:p>
    <w:p>
      <w:pPr>
        <w:spacing w:line="206" w:lineRule="exact" w:before="0"/>
        <w:ind w:left="147" w:right="0" w:firstLine="0"/>
        <w:jc w:val="left"/>
        <w:rPr>
          <w:sz w:val="18"/>
        </w:rPr>
      </w:pPr>
      <w:r>
        <w:rPr>
          <w:sz w:val="18"/>
        </w:rPr>
        <w:t>Telefone:</w:t>
      </w:r>
      <w:r>
        <w:rPr>
          <w:spacing w:val="-9"/>
          <w:sz w:val="18"/>
        </w:rPr>
        <w:t> </w:t>
      </w:r>
      <w:r>
        <w:rPr>
          <w:sz w:val="18"/>
        </w:rPr>
        <w:t>8532668856</w:t>
      </w:r>
      <w:r>
        <w:rPr>
          <w:spacing w:val="-8"/>
          <w:sz w:val="18"/>
        </w:rPr>
        <w:t> </w:t>
      </w:r>
      <w:r>
        <w:rPr>
          <w:sz w:val="18"/>
        </w:rPr>
        <w:t>-</w:t>
      </w:r>
      <w:r>
        <w:rPr>
          <w:spacing w:val="-8"/>
          <w:sz w:val="18"/>
        </w:rPr>
        <w:t> </w:t>
      </w:r>
      <w:hyperlink r:id="rId12">
        <w:r>
          <w:rPr>
            <w:spacing w:val="-2"/>
            <w:sz w:val="18"/>
          </w:rPr>
          <w:t>http://www.docasdoceara.com.br/</w:t>
        </w:r>
      </w:hyperlink>
    </w:p>
    <w:sectPr>
      <w:pgSz w:w="11900" w:h="16840"/>
      <w:pgMar w:header="0" w:footer="181" w:top="620" w:bottom="3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09152">
              <wp:simplePos x="0" y="0"/>
              <wp:positionH relativeFrom="page">
                <wp:posOffset>1673351</wp:posOffset>
              </wp:positionH>
              <wp:positionV relativeFrom="page">
                <wp:posOffset>10438730</wp:posOffset>
              </wp:positionV>
              <wp:extent cx="1880235"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880235" cy="167640"/>
                      </a:xfrm>
                      <a:prstGeom prst="rect">
                        <a:avLst/>
                      </a:prstGeom>
                    </wps:spPr>
                    <wps:txbx>
                      <w:txbxContent>
                        <w:p>
                          <w:pPr>
                            <w:spacing w:before="13"/>
                            <w:ind w:left="20" w:right="0" w:firstLine="0"/>
                            <w:jc w:val="left"/>
                            <w:rPr>
                              <w:rFonts w:ascii="Arial MT" w:hAnsi="Arial MT"/>
                              <w:sz w:val="20"/>
                            </w:rPr>
                          </w:pPr>
                          <w:r>
                            <w:rPr>
                              <w:rFonts w:ascii="Arial MT" w:hAnsi="Arial MT"/>
                              <w:color w:val="BEBEBE"/>
                              <w:sz w:val="20"/>
                            </w:rPr>
                            <w:t>Ata de Reunião 663ª </w:t>
                          </w:r>
                          <w:r>
                            <w:rPr>
                              <w:rFonts w:ascii="Arial MT" w:hAnsi="Arial MT"/>
                              <w:color w:val="BEBEBE"/>
                              <w:spacing w:val="-2"/>
                              <w:sz w:val="20"/>
                            </w:rPr>
                            <w:t>(11602938)</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1.759995pt;margin-top:821.947266pt;width:148.050pt;height:13.2pt;mso-position-horizontal-relative:page;mso-position-vertical-relative:page;z-index:-15907328" type="#_x0000_t202" id="docshape1" filled="false" stroked="false">
              <v:textbox inset="0,0,0,0">
                <w:txbxContent>
                  <w:p>
                    <w:pPr>
                      <w:spacing w:before="13"/>
                      <w:ind w:left="20" w:right="0" w:firstLine="0"/>
                      <w:jc w:val="left"/>
                      <w:rPr>
                        <w:rFonts w:ascii="Arial MT" w:hAnsi="Arial MT"/>
                        <w:sz w:val="20"/>
                      </w:rPr>
                    </w:pPr>
                    <w:r>
                      <w:rPr>
                        <w:rFonts w:ascii="Arial MT" w:hAnsi="Arial MT"/>
                        <w:color w:val="BEBEBE"/>
                        <w:sz w:val="20"/>
                      </w:rPr>
                      <w:t>Ata de Reunião 663ª </w:t>
                    </w:r>
                    <w:r>
                      <w:rPr>
                        <w:rFonts w:ascii="Arial MT" w:hAnsi="Arial MT"/>
                        <w:color w:val="BEBEBE"/>
                        <w:spacing w:val="-2"/>
                        <w:sz w:val="20"/>
                      </w:rPr>
                      <w:t>(11602938)</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09664">
              <wp:simplePos x="0" y="0"/>
              <wp:positionH relativeFrom="page">
                <wp:posOffset>3845560</wp:posOffset>
              </wp:positionH>
              <wp:positionV relativeFrom="page">
                <wp:posOffset>10438730</wp:posOffset>
              </wp:positionV>
              <wp:extent cx="2038350" cy="16764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038350" cy="167640"/>
                      </a:xfrm>
                      <a:prstGeom prst="rect">
                        <a:avLst/>
                      </a:prstGeom>
                    </wps:spPr>
                    <wps:txbx>
                      <w:txbxContent>
                        <w:p>
                          <w:pPr>
                            <w:spacing w:before="13"/>
                            <w:ind w:left="20" w:right="0" w:firstLine="0"/>
                            <w:jc w:val="left"/>
                            <w:rPr>
                              <w:rFonts w:ascii="Arial MT"/>
                              <w:sz w:val="20"/>
                            </w:rPr>
                          </w:pPr>
                          <w:r>
                            <w:rPr>
                              <w:rFonts w:ascii="Arial MT"/>
                              <w:color w:val="BEBEBE"/>
                              <w:sz w:val="20"/>
                            </w:rPr>
                            <w:t>SEI 50900.000128/2021-31 / pg. </w:t>
                          </w:r>
                          <w:r>
                            <w:rPr>
                              <w:rFonts w:ascii="Arial MT"/>
                              <w:color w:val="BEBEBE"/>
                              <w:spacing w:val="-5"/>
                              <w:sz w:val="20"/>
                            </w:rPr>
                            <w:fldChar w:fldCharType="begin"/>
                          </w:r>
                          <w:r>
                            <w:rPr>
                              <w:rFonts w:ascii="Arial MT"/>
                              <w:color w:val="BEBEBE"/>
                              <w:spacing w:val="-5"/>
                              <w:sz w:val="20"/>
                            </w:rPr>
                            <w:instrText> PAGE </w:instrText>
                          </w:r>
                          <w:r>
                            <w:rPr>
                              <w:rFonts w:ascii="Arial MT"/>
                              <w:color w:val="BEBEBE"/>
                              <w:spacing w:val="-5"/>
                              <w:sz w:val="20"/>
                            </w:rPr>
                            <w:fldChar w:fldCharType="separate"/>
                          </w:r>
                          <w:r>
                            <w:rPr>
                              <w:rFonts w:ascii="Arial MT"/>
                              <w:color w:val="BEBEBE"/>
                              <w:spacing w:val="-5"/>
                              <w:sz w:val="20"/>
                            </w:rPr>
                            <w:t>10</w:t>
                          </w:r>
                          <w:r>
                            <w:rPr>
                              <w:rFonts w:ascii="Arial MT"/>
                              <w:color w:val="BEBEBE"/>
                              <w:spacing w:val="-5"/>
                              <w:sz w:val="20"/>
                            </w:rPr>
                            <w:fldChar w:fldCharType="end"/>
                          </w:r>
                        </w:p>
                      </w:txbxContent>
                    </wps:txbx>
                    <wps:bodyPr wrap="square" lIns="0" tIns="0" rIns="0" bIns="0" rtlCol="0">
                      <a:noAutofit/>
                    </wps:bodyPr>
                  </wps:wsp>
                </a:graphicData>
              </a:graphic>
            </wp:anchor>
          </w:drawing>
        </mc:Choice>
        <mc:Fallback>
          <w:pict>
            <v:shape style="position:absolute;margin-left:302.800049pt;margin-top:821.947266pt;width:160.5pt;height:13.2pt;mso-position-horizontal-relative:page;mso-position-vertical-relative:page;z-index:-15906816" type="#_x0000_t202" id="docshape2" filled="false" stroked="false">
              <v:textbox inset="0,0,0,0">
                <w:txbxContent>
                  <w:p>
                    <w:pPr>
                      <w:spacing w:before="13"/>
                      <w:ind w:left="20" w:right="0" w:firstLine="0"/>
                      <w:jc w:val="left"/>
                      <w:rPr>
                        <w:rFonts w:ascii="Arial MT"/>
                        <w:sz w:val="20"/>
                      </w:rPr>
                    </w:pPr>
                    <w:r>
                      <w:rPr>
                        <w:rFonts w:ascii="Arial MT"/>
                        <w:color w:val="BEBEBE"/>
                        <w:sz w:val="20"/>
                      </w:rPr>
                      <w:t>SEI 50900.000128/2021-31 / pg. </w:t>
                    </w:r>
                    <w:r>
                      <w:rPr>
                        <w:rFonts w:ascii="Arial MT"/>
                        <w:color w:val="BEBEBE"/>
                        <w:spacing w:val="-5"/>
                        <w:sz w:val="20"/>
                      </w:rPr>
                      <w:fldChar w:fldCharType="begin"/>
                    </w:r>
                    <w:r>
                      <w:rPr>
                        <w:rFonts w:ascii="Arial MT"/>
                        <w:color w:val="BEBEBE"/>
                        <w:spacing w:val="-5"/>
                        <w:sz w:val="20"/>
                      </w:rPr>
                      <w:instrText> PAGE </w:instrText>
                    </w:r>
                    <w:r>
                      <w:rPr>
                        <w:rFonts w:ascii="Arial MT"/>
                        <w:color w:val="BEBEBE"/>
                        <w:spacing w:val="-5"/>
                        <w:sz w:val="20"/>
                      </w:rPr>
                      <w:fldChar w:fldCharType="separate"/>
                    </w:r>
                    <w:r>
                      <w:rPr>
                        <w:rFonts w:ascii="Arial MT"/>
                        <w:color w:val="BEBEBE"/>
                        <w:spacing w:val="-5"/>
                        <w:sz w:val="20"/>
                      </w:rPr>
                      <w:t>10</w:t>
                    </w:r>
                    <w:r>
                      <w:rPr>
                        <w:rFonts w:ascii="Arial MT"/>
                        <w:color w:val="BEBEBE"/>
                        <w:spacing w:val="-5"/>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242" w:hanging="204"/>
        <w:jc w:val="left"/>
      </w:pPr>
      <w:rPr>
        <w:rFonts w:hint="default" w:ascii="Times New Roman" w:hAnsi="Times New Roman" w:eastAsia="Times New Roman" w:cs="Times New Roman"/>
        <w:b/>
        <w:bCs/>
        <w:i w:val="0"/>
        <w:iCs w:val="0"/>
        <w:spacing w:val="0"/>
        <w:w w:val="99"/>
        <w:sz w:val="24"/>
        <w:szCs w:val="24"/>
        <w:lang w:val="pt-PT" w:eastAsia="en-US" w:bidi="ar-SA"/>
      </w:rPr>
    </w:lvl>
    <w:lvl w:ilvl="1">
      <w:start w:val="0"/>
      <w:numFmt w:val="bullet"/>
      <w:lvlText w:val="•"/>
      <w:lvlJc w:val="left"/>
      <w:pPr>
        <w:ind w:left="1292" w:hanging="204"/>
      </w:pPr>
      <w:rPr>
        <w:rFonts w:hint="default"/>
        <w:lang w:val="pt-PT" w:eastAsia="en-US" w:bidi="ar-SA"/>
      </w:rPr>
    </w:lvl>
    <w:lvl w:ilvl="2">
      <w:start w:val="0"/>
      <w:numFmt w:val="bullet"/>
      <w:lvlText w:val="•"/>
      <w:lvlJc w:val="left"/>
      <w:pPr>
        <w:ind w:left="2345" w:hanging="204"/>
      </w:pPr>
      <w:rPr>
        <w:rFonts w:hint="default"/>
        <w:lang w:val="pt-PT" w:eastAsia="en-US" w:bidi="ar-SA"/>
      </w:rPr>
    </w:lvl>
    <w:lvl w:ilvl="3">
      <w:start w:val="0"/>
      <w:numFmt w:val="bullet"/>
      <w:lvlText w:val="•"/>
      <w:lvlJc w:val="left"/>
      <w:pPr>
        <w:ind w:left="3398" w:hanging="204"/>
      </w:pPr>
      <w:rPr>
        <w:rFonts w:hint="default"/>
        <w:lang w:val="pt-PT" w:eastAsia="en-US" w:bidi="ar-SA"/>
      </w:rPr>
    </w:lvl>
    <w:lvl w:ilvl="4">
      <w:start w:val="0"/>
      <w:numFmt w:val="bullet"/>
      <w:lvlText w:val="•"/>
      <w:lvlJc w:val="left"/>
      <w:pPr>
        <w:ind w:left="4451" w:hanging="204"/>
      </w:pPr>
      <w:rPr>
        <w:rFonts w:hint="default"/>
        <w:lang w:val="pt-PT" w:eastAsia="en-US" w:bidi="ar-SA"/>
      </w:rPr>
    </w:lvl>
    <w:lvl w:ilvl="5">
      <w:start w:val="0"/>
      <w:numFmt w:val="bullet"/>
      <w:lvlText w:val="•"/>
      <w:lvlJc w:val="left"/>
      <w:pPr>
        <w:ind w:left="5504" w:hanging="204"/>
      </w:pPr>
      <w:rPr>
        <w:rFonts w:hint="default"/>
        <w:lang w:val="pt-PT" w:eastAsia="en-US" w:bidi="ar-SA"/>
      </w:rPr>
    </w:lvl>
    <w:lvl w:ilvl="6">
      <w:start w:val="0"/>
      <w:numFmt w:val="bullet"/>
      <w:lvlText w:val="•"/>
      <w:lvlJc w:val="left"/>
      <w:pPr>
        <w:ind w:left="6556" w:hanging="204"/>
      </w:pPr>
      <w:rPr>
        <w:rFonts w:hint="default"/>
        <w:lang w:val="pt-PT" w:eastAsia="en-US" w:bidi="ar-SA"/>
      </w:rPr>
    </w:lvl>
    <w:lvl w:ilvl="7">
      <w:start w:val="0"/>
      <w:numFmt w:val="bullet"/>
      <w:lvlText w:val="•"/>
      <w:lvlJc w:val="left"/>
      <w:pPr>
        <w:ind w:left="7609" w:hanging="204"/>
      </w:pPr>
      <w:rPr>
        <w:rFonts w:hint="default"/>
        <w:lang w:val="pt-PT" w:eastAsia="en-US" w:bidi="ar-SA"/>
      </w:rPr>
    </w:lvl>
    <w:lvl w:ilvl="8">
      <w:start w:val="0"/>
      <w:numFmt w:val="bullet"/>
      <w:lvlText w:val="•"/>
      <w:lvlJc w:val="left"/>
      <w:pPr>
        <w:ind w:left="8662" w:hanging="204"/>
      </w:pPr>
      <w:rPr>
        <w:rFonts w:hint="default"/>
        <w:lang w:val="pt-PT" w:eastAsia="en-US" w:bidi="ar-SA"/>
      </w:rPr>
    </w:lvl>
  </w:abstractNum>
  <w:abstractNum w:abstractNumId="0">
    <w:multiLevelType w:val="hybridMultilevel"/>
    <w:lvl w:ilvl="0">
      <w:start w:val="1"/>
      <w:numFmt w:val="decimal"/>
      <w:lvlText w:val="%1."/>
      <w:lvlJc w:val="left"/>
      <w:pPr>
        <w:ind w:left="480" w:hanging="239"/>
        <w:jc w:val="left"/>
      </w:pPr>
      <w:rPr>
        <w:rFonts w:hint="default" w:ascii="Times New Roman" w:hAnsi="Times New Roman" w:eastAsia="Times New Roman" w:cs="Times New Roman"/>
        <w:b/>
        <w:bCs/>
        <w:i w:val="0"/>
        <w:iCs w:val="0"/>
        <w:spacing w:val="0"/>
        <w:w w:val="99"/>
        <w:sz w:val="24"/>
        <w:szCs w:val="24"/>
        <w:lang w:val="pt-PT" w:eastAsia="en-US" w:bidi="ar-SA"/>
      </w:rPr>
    </w:lvl>
    <w:lvl w:ilvl="1">
      <w:start w:val="1"/>
      <w:numFmt w:val="decimal"/>
      <w:lvlText w:val="%1.%2"/>
      <w:lvlJc w:val="left"/>
      <w:pPr>
        <w:ind w:left="600" w:hanging="359"/>
        <w:jc w:val="left"/>
      </w:pPr>
      <w:rPr>
        <w:rFonts w:hint="default" w:ascii="Times New Roman" w:hAnsi="Times New Roman" w:eastAsia="Times New Roman" w:cs="Times New Roman"/>
        <w:b/>
        <w:bCs/>
        <w:i w:val="0"/>
        <w:iCs w:val="0"/>
        <w:spacing w:val="0"/>
        <w:w w:val="99"/>
        <w:sz w:val="24"/>
        <w:szCs w:val="24"/>
        <w:lang w:val="pt-PT" w:eastAsia="en-US" w:bidi="ar-SA"/>
      </w:rPr>
    </w:lvl>
    <w:lvl w:ilvl="2">
      <w:start w:val="0"/>
      <w:numFmt w:val="bullet"/>
      <w:lvlText w:val="•"/>
      <w:lvlJc w:val="left"/>
      <w:pPr>
        <w:ind w:left="1729" w:hanging="359"/>
      </w:pPr>
      <w:rPr>
        <w:rFonts w:hint="default"/>
        <w:lang w:val="pt-PT" w:eastAsia="en-US" w:bidi="ar-SA"/>
      </w:rPr>
    </w:lvl>
    <w:lvl w:ilvl="3">
      <w:start w:val="0"/>
      <w:numFmt w:val="bullet"/>
      <w:lvlText w:val="•"/>
      <w:lvlJc w:val="left"/>
      <w:pPr>
        <w:ind w:left="2859" w:hanging="359"/>
      </w:pPr>
      <w:rPr>
        <w:rFonts w:hint="default"/>
        <w:lang w:val="pt-PT" w:eastAsia="en-US" w:bidi="ar-SA"/>
      </w:rPr>
    </w:lvl>
    <w:lvl w:ilvl="4">
      <w:start w:val="0"/>
      <w:numFmt w:val="bullet"/>
      <w:lvlText w:val="•"/>
      <w:lvlJc w:val="left"/>
      <w:pPr>
        <w:ind w:left="3989" w:hanging="359"/>
      </w:pPr>
      <w:rPr>
        <w:rFonts w:hint="default"/>
        <w:lang w:val="pt-PT" w:eastAsia="en-US" w:bidi="ar-SA"/>
      </w:rPr>
    </w:lvl>
    <w:lvl w:ilvl="5">
      <w:start w:val="0"/>
      <w:numFmt w:val="bullet"/>
      <w:lvlText w:val="•"/>
      <w:lvlJc w:val="left"/>
      <w:pPr>
        <w:ind w:left="5119" w:hanging="359"/>
      </w:pPr>
      <w:rPr>
        <w:rFonts w:hint="default"/>
        <w:lang w:val="pt-PT" w:eastAsia="en-US" w:bidi="ar-SA"/>
      </w:rPr>
    </w:lvl>
    <w:lvl w:ilvl="6">
      <w:start w:val="0"/>
      <w:numFmt w:val="bullet"/>
      <w:lvlText w:val="•"/>
      <w:lvlJc w:val="left"/>
      <w:pPr>
        <w:ind w:left="6248" w:hanging="359"/>
      </w:pPr>
      <w:rPr>
        <w:rFonts w:hint="default"/>
        <w:lang w:val="pt-PT" w:eastAsia="en-US" w:bidi="ar-SA"/>
      </w:rPr>
    </w:lvl>
    <w:lvl w:ilvl="7">
      <w:start w:val="0"/>
      <w:numFmt w:val="bullet"/>
      <w:lvlText w:val="•"/>
      <w:lvlJc w:val="left"/>
      <w:pPr>
        <w:ind w:left="7378" w:hanging="359"/>
      </w:pPr>
      <w:rPr>
        <w:rFonts w:hint="default"/>
        <w:lang w:val="pt-PT" w:eastAsia="en-US" w:bidi="ar-SA"/>
      </w:rPr>
    </w:lvl>
    <w:lvl w:ilvl="8">
      <w:start w:val="0"/>
      <w:numFmt w:val="bullet"/>
      <w:lvlText w:val="•"/>
      <w:lvlJc w:val="left"/>
      <w:pPr>
        <w:ind w:left="8508" w:hanging="359"/>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242"/>
    </w:pPr>
    <w:rPr>
      <w:rFonts w:ascii="Times New Roman" w:hAnsi="Times New Roman" w:eastAsia="Times New Roman" w:cs="Times New Roman"/>
      <w:sz w:val="24"/>
      <w:szCs w:val="24"/>
      <w:lang w:val="pt-PT" w:eastAsia="en-US" w:bidi="ar-SA"/>
    </w:rPr>
  </w:style>
  <w:style w:styleId="Heading1" w:type="paragraph">
    <w:name w:val="Heading 1"/>
    <w:basedOn w:val="Normal"/>
    <w:uiPriority w:val="1"/>
    <w:qFormat/>
    <w:pPr>
      <w:ind w:left="479" w:hanging="237"/>
      <w:outlineLvl w:val="1"/>
    </w:pPr>
    <w:rPr>
      <w:rFonts w:ascii="Times New Roman" w:hAnsi="Times New Roman" w:eastAsia="Times New Roman" w:cs="Times New Roman"/>
      <w:b/>
      <w:bCs/>
      <w:sz w:val="24"/>
      <w:szCs w:val="24"/>
      <w:lang w:val="pt-PT" w:eastAsia="en-US" w:bidi="ar-SA"/>
    </w:rPr>
  </w:style>
  <w:style w:styleId="Heading2" w:type="paragraph">
    <w:name w:val="Heading 2"/>
    <w:basedOn w:val="Normal"/>
    <w:uiPriority w:val="1"/>
    <w:qFormat/>
    <w:pPr>
      <w:ind w:left="599" w:hanging="357"/>
      <w:outlineLvl w:val="2"/>
    </w:pPr>
    <w:rPr>
      <w:rFonts w:ascii="Times New Roman" w:hAnsi="Times New Roman" w:eastAsia="Times New Roman" w:cs="Times New Roman"/>
      <w:b/>
      <w:bCs/>
      <w:sz w:val="24"/>
      <w:szCs w:val="24"/>
      <w:lang w:val="pt-PT" w:eastAsia="en-US" w:bidi="ar-SA"/>
    </w:rPr>
  </w:style>
  <w:style w:styleId="Title" w:type="paragraph">
    <w:name w:val="Title"/>
    <w:basedOn w:val="Normal"/>
    <w:uiPriority w:val="1"/>
    <w:qFormat/>
    <w:pPr>
      <w:spacing w:before="249"/>
      <w:ind w:left="1792" w:right="1535" w:firstLine="1120"/>
    </w:pPr>
    <w:rPr>
      <w:rFonts w:ascii="Times New Roman" w:hAnsi="Times New Roman" w:eastAsia="Times New Roman" w:cs="Times New Roman"/>
      <w:b/>
      <w:bCs/>
      <w:sz w:val="26"/>
      <w:szCs w:val="26"/>
      <w:lang w:val="pt-PT" w:eastAsia="en-US" w:bidi="ar-SA"/>
    </w:rPr>
  </w:style>
  <w:style w:styleId="ListParagraph" w:type="paragraph">
    <w:name w:val="List Paragraph"/>
    <w:basedOn w:val="Normal"/>
    <w:uiPriority w:val="1"/>
    <w:qFormat/>
    <w:pPr>
      <w:ind w:left="24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hyperlink" Target="https://sei.transportes.gov.br/sei/controlador_externo.php?acao=documento_conferir&amp;acao_origem=documento_conferir&amp;lang=pt_BR&amp;id_orgao_acesso_externo=0" TargetMode="Externa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hyperlink" Target="http://www.docasdoceara.com.br/"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50900.000128/2021-31</dc:title>
  <dcterms:created xsi:type="dcterms:W3CDTF">2026-08-19T19:19:24Z</dcterms:created>
  <dcterms:modified xsi:type="dcterms:W3CDTF">2026-08-19T19:19:24Z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2026-08-19T00:00:00Z</vt:filetime>
  </property>
  <property fmtid="{D5CDD505-2E9C-101B-9397-08002B2CF9AE}" pid="4" name="Creator">
    <vt:lpwstr>wkhtmltopdf 0.12.6</vt:lpwstr>
  </property>
  <property fmtid="{D5CDD505-2E9C-101B-9397-08002B2CF9AE}" pid="5" name="Producer">
    <vt:lpwstr>Qt 4.8.7</vt:lpwstr>
  </property>
  <property fmtid="{D5CDD505-2E9C-101B-9397-08002B2CF9AE}" pid="6" name="LastSaved">
    <vt:filetime>2026-08-19T00:00:00Z</vt:filetime>
  </property>
</Properties>
</file>