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3A4" w:rsidRDefault="000545DD">
      <w:pPr>
        <w:pBdr>
          <w:top w:val="nil"/>
          <w:left w:val="nil"/>
          <w:bottom w:val="nil"/>
          <w:right w:val="nil"/>
          <w:between w:val="nil"/>
        </w:pBdr>
        <w:spacing w:before="120" w:after="120" w:line="360" w:lineRule="auto"/>
        <w:ind w:right="195"/>
        <w:jc w:val="both"/>
        <w:rPr>
          <w:color w:val="767070"/>
        </w:rPr>
        <w:sectPr w:rsidR="003073A4">
          <w:headerReference w:type="default" r:id="rId9"/>
          <w:footerReference w:type="default" r:id="rId10"/>
          <w:pgSz w:w="11910" w:h="16840"/>
          <w:pgMar w:top="1580" w:right="1500" w:bottom="0" w:left="1480" w:header="720" w:footer="720" w:gutter="0"/>
          <w:pgNumType w:start="1"/>
          <w:cols w:space="720"/>
        </w:sectPr>
      </w:pPr>
      <w:r>
        <w:rPr>
          <w:noProof/>
          <w:color w:val="767070"/>
        </w:rPr>
        <w:drawing>
          <wp:anchor distT="0" distB="0" distL="0" distR="0" simplePos="0" relativeHeight="251658240" behindDoc="1" locked="0" layoutInCell="1" hidden="0" allowOverlap="1">
            <wp:simplePos x="0" y="0"/>
            <wp:positionH relativeFrom="page">
              <wp:align>right</wp:align>
            </wp:positionH>
            <wp:positionV relativeFrom="margin">
              <wp:posOffset>-5544184</wp:posOffset>
            </wp:positionV>
            <wp:extent cx="7553325" cy="148113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553325" cy="14811375"/>
                    </a:xfrm>
                    <a:prstGeom prst="rect">
                      <a:avLst/>
                    </a:prstGeom>
                    <a:ln/>
                  </pic:spPr>
                </pic:pic>
              </a:graphicData>
            </a:graphic>
          </wp:anchor>
        </w:drawing>
      </w:r>
    </w:p>
    <w:p w:rsidR="003073A4" w:rsidRDefault="003073A4">
      <w:pPr>
        <w:pBdr>
          <w:top w:val="nil"/>
          <w:left w:val="nil"/>
          <w:bottom w:val="nil"/>
          <w:right w:val="nil"/>
          <w:between w:val="nil"/>
        </w:pBdr>
        <w:spacing w:before="120" w:after="120" w:line="360" w:lineRule="auto"/>
        <w:ind w:right="195"/>
        <w:jc w:val="both"/>
        <w:rPr>
          <w:color w:val="767070"/>
        </w:rPr>
      </w:pPr>
    </w:p>
    <w:p w:rsidR="003073A4" w:rsidRDefault="000545DD" w:rsidP="000E6639">
      <w:pPr>
        <w:pBdr>
          <w:top w:val="nil"/>
          <w:left w:val="nil"/>
          <w:bottom w:val="nil"/>
          <w:right w:val="nil"/>
          <w:between w:val="nil"/>
        </w:pBdr>
        <w:spacing w:before="123"/>
        <w:ind w:left="440" w:hanging="219"/>
        <w:rPr>
          <w:b/>
          <w:bCs/>
          <w:color w:val="000000"/>
          <w:sz w:val="28"/>
          <w:szCs w:val="28"/>
        </w:rPr>
      </w:pPr>
      <w:bookmarkStart w:id="0" w:name="_heading=h.28mu2ryl7p6q" w:colFirst="0" w:colLast="0"/>
      <w:bookmarkEnd w:id="0"/>
      <w:r>
        <w:rPr>
          <w:b/>
          <w:bCs/>
          <w:color w:val="000000"/>
          <w:sz w:val="28"/>
          <w:szCs w:val="28"/>
        </w:rPr>
        <w:t>SUMÁRIO</w:t>
      </w:r>
    </w:p>
    <w:tbl>
      <w:tblPr>
        <w:tblStyle w:val="a"/>
        <w:tblW w:w="89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59"/>
        <w:gridCol w:w="561"/>
      </w:tblGrid>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LISTA DE ABREVIATURAS E SIGLAS.............................................................................................</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03</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LISTA DE FIGURAS......................................................................................................................</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04</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LISTA DE TABELAS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05</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1. IDENTIFICAÇÃO GERAL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06</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 POLÍTICAS PÚBLICAS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08</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2.1. Interesse público subjacente às atividades empresariais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08</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2.2. Atendimento às políticas públicas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09</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2.3. Metas relativas ao desenvolvimento de atividades que atendam aos objetivos</w:t>
            </w:r>
          </w:p>
          <w:p w:rsidR="003073A4" w:rsidRDefault="000545DD">
            <w:pPr>
              <w:spacing w:line="276" w:lineRule="auto"/>
              <w:ind w:right="-143"/>
              <w:rPr>
                <w:rFonts w:ascii="Calibri" w:eastAsia="Calibri" w:hAnsi="Calibri" w:cs="Calibri"/>
              </w:rPr>
            </w:pPr>
            <w:r>
              <w:rPr>
                <w:rFonts w:ascii="Calibri" w:eastAsia="Calibri" w:hAnsi="Calibri" w:cs="Calibri"/>
              </w:rPr>
              <w:t xml:space="preserve"> de políticas públicas ..…………………………………………………………………………………………………..………</w:t>
            </w:r>
            <w:r w:rsidR="000E6639">
              <w:rPr>
                <w:rFonts w:ascii="Calibri" w:eastAsia="Calibri" w:hAnsi="Calibri" w:cs="Calibri"/>
              </w:rPr>
              <w:t xml:space="preserve">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3073A4">
            <w:pPr>
              <w:spacing w:line="276" w:lineRule="auto"/>
              <w:ind w:right="-143"/>
              <w:rPr>
                <w:rFonts w:ascii="Calibri" w:eastAsia="Calibri" w:hAnsi="Calibri" w:cs="Calibri"/>
              </w:rPr>
            </w:pPr>
          </w:p>
          <w:p w:rsidR="003073A4" w:rsidRDefault="000545DD" w:rsidP="00E944DE">
            <w:pPr>
              <w:spacing w:line="276" w:lineRule="auto"/>
              <w:ind w:right="-143"/>
              <w:rPr>
                <w:rFonts w:ascii="Calibri" w:eastAsia="Calibri" w:hAnsi="Calibri" w:cs="Calibri"/>
              </w:rPr>
            </w:pPr>
            <w:r>
              <w:rPr>
                <w:rFonts w:ascii="Calibri" w:eastAsia="Calibri" w:hAnsi="Calibri" w:cs="Calibri"/>
              </w:rPr>
              <w:t>1</w:t>
            </w:r>
            <w:r w:rsidR="00E944DE">
              <w:rPr>
                <w:rFonts w:ascii="Calibri" w:eastAsia="Calibri" w:hAnsi="Calibri" w:cs="Calibri"/>
              </w:rPr>
              <w:t>2</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2.4. Recursos para custeio das políticas públicas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17</w:t>
            </w:r>
          </w:p>
        </w:tc>
      </w:tr>
      <w:tr w:rsidR="003073A4">
        <w:tc>
          <w:tcPr>
            <w:tcW w:w="8359" w:type="dxa"/>
          </w:tcPr>
          <w:p w:rsidR="003073A4" w:rsidRDefault="000545DD">
            <w:pPr>
              <w:spacing w:line="276" w:lineRule="auto"/>
              <w:ind w:right="-143"/>
              <w:rPr>
                <w:rFonts w:ascii="Calibri" w:eastAsia="Calibri" w:hAnsi="Calibri" w:cs="Calibri"/>
              </w:rPr>
            </w:pPr>
            <w:r>
              <w:rPr>
                <w:rFonts w:ascii="Calibri" w:eastAsia="Calibri" w:hAnsi="Calibri" w:cs="Calibri"/>
              </w:rPr>
              <w:t>2.5. Impactos econômico-financeiros da operacionalização das políticas públicas ……………….</w:t>
            </w:r>
          </w:p>
          <w:p w:rsidR="000E6639" w:rsidRPr="000E6639"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19</w:t>
            </w:r>
          </w:p>
        </w:tc>
      </w:tr>
      <w:tr w:rsidR="003073A4">
        <w:tc>
          <w:tcPr>
            <w:tcW w:w="8359" w:type="dxa"/>
          </w:tcPr>
          <w:p w:rsidR="003073A4" w:rsidRPr="00AE5B3E" w:rsidRDefault="000545DD">
            <w:pPr>
              <w:spacing w:line="276" w:lineRule="auto"/>
              <w:ind w:right="-143"/>
              <w:rPr>
                <w:rFonts w:ascii="Calibri" w:eastAsia="Calibri" w:hAnsi="Calibri" w:cs="Calibri"/>
              </w:rPr>
            </w:pPr>
            <w:r w:rsidRPr="00AE5B3E">
              <w:rPr>
                <w:rFonts w:ascii="Calibri" w:eastAsia="Calibri" w:hAnsi="Calibri" w:cs="Calibri"/>
              </w:rPr>
              <w:t>2.6. Comentários dos administradores sobre o desempenho ……………………………………………….</w:t>
            </w:r>
          </w:p>
          <w:p w:rsidR="000E6639" w:rsidRPr="00AE5B3E" w:rsidRDefault="000E6639">
            <w:pPr>
              <w:spacing w:line="276" w:lineRule="auto"/>
              <w:ind w:right="-143"/>
              <w:rPr>
                <w:rFonts w:ascii="Calibri" w:eastAsia="Calibri" w:hAnsi="Calibri" w:cs="Calibri"/>
                <w:sz w:val="10"/>
                <w:szCs w:val="10"/>
              </w:rPr>
            </w:pPr>
          </w:p>
        </w:tc>
        <w:tc>
          <w:tcPr>
            <w:tcW w:w="561" w:type="dxa"/>
          </w:tcPr>
          <w:p w:rsidR="003073A4" w:rsidRDefault="000545DD">
            <w:pPr>
              <w:spacing w:line="276" w:lineRule="auto"/>
              <w:ind w:right="-143"/>
              <w:rPr>
                <w:rFonts w:ascii="Calibri" w:eastAsia="Calibri" w:hAnsi="Calibri" w:cs="Calibri"/>
              </w:rPr>
            </w:pPr>
            <w:r>
              <w:rPr>
                <w:rFonts w:ascii="Calibri" w:eastAsia="Calibri" w:hAnsi="Calibri" w:cs="Calibri"/>
              </w:rPr>
              <w:t>21</w:t>
            </w:r>
          </w:p>
        </w:tc>
      </w:tr>
      <w:tr w:rsidR="004C3C95">
        <w:tc>
          <w:tcPr>
            <w:tcW w:w="8359" w:type="dxa"/>
          </w:tcPr>
          <w:p w:rsidR="004C3C95" w:rsidRPr="00AE5B3E" w:rsidRDefault="004C3C95" w:rsidP="004C3C95">
            <w:pPr>
              <w:spacing w:line="276" w:lineRule="auto"/>
              <w:ind w:right="-143"/>
              <w:rPr>
                <w:rFonts w:ascii="Calibri" w:eastAsia="Calibri" w:hAnsi="Calibri" w:cs="Calibri"/>
              </w:rPr>
            </w:pPr>
            <w:r w:rsidRPr="00AE5B3E">
              <w:rPr>
                <w:rFonts w:ascii="Calibri" w:eastAsia="Calibri" w:hAnsi="Calibri" w:cs="Calibri"/>
              </w:rPr>
              <w:t>2.6.</w:t>
            </w:r>
            <w:r w:rsidR="00AE5B3E" w:rsidRPr="00AE5B3E">
              <w:rPr>
                <w:rFonts w:ascii="Calibri" w:eastAsia="Calibri" w:hAnsi="Calibri" w:cs="Calibri"/>
              </w:rPr>
              <w:t>1.</w:t>
            </w:r>
            <w:r w:rsidRPr="00AE5B3E">
              <w:rPr>
                <w:rFonts w:ascii="Calibri" w:eastAsia="Calibri" w:hAnsi="Calibri" w:cs="Calibri"/>
              </w:rPr>
              <w:t xml:space="preserve"> Análise crítica dos resultados ...............................................……………………………………….</w:t>
            </w:r>
          </w:p>
          <w:p w:rsidR="004C3C95" w:rsidRPr="00AE5B3E" w:rsidRDefault="004C3C95" w:rsidP="004C3C95">
            <w:pPr>
              <w:spacing w:line="276" w:lineRule="auto"/>
              <w:ind w:right="-143"/>
              <w:rPr>
                <w:rFonts w:ascii="Calibri" w:eastAsia="Calibri" w:hAnsi="Calibri" w:cs="Calibri"/>
                <w:sz w:val="10"/>
                <w:szCs w:val="10"/>
              </w:rPr>
            </w:pPr>
          </w:p>
        </w:tc>
        <w:tc>
          <w:tcPr>
            <w:tcW w:w="561"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28</w:t>
            </w:r>
          </w:p>
        </w:tc>
      </w:tr>
      <w:tr w:rsidR="004C3C95">
        <w:tc>
          <w:tcPr>
            <w:tcW w:w="8359" w:type="dxa"/>
          </w:tcPr>
          <w:p w:rsidR="004C3C95" w:rsidRPr="00AE5B3E" w:rsidRDefault="004C3C95" w:rsidP="004C3C95">
            <w:pPr>
              <w:spacing w:line="276" w:lineRule="auto"/>
              <w:ind w:right="-143"/>
              <w:rPr>
                <w:rFonts w:ascii="Calibri" w:eastAsia="Calibri" w:hAnsi="Calibri" w:cs="Calibri"/>
              </w:rPr>
            </w:pPr>
            <w:r w:rsidRPr="00AE5B3E">
              <w:rPr>
                <w:rFonts w:ascii="Calibri" w:eastAsia="Calibri" w:hAnsi="Calibri" w:cs="Calibri"/>
              </w:rPr>
              <w:t>2.7. Outras informações relevantes sobre objetivos de políticas públicas …………………………….</w:t>
            </w:r>
          </w:p>
          <w:p w:rsidR="004C3C95" w:rsidRPr="00AE5B3E"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30</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2.8. Aderência aos ODS e iniciativas de ESG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32</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 GOVERNANÇA CORPORATIVA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34</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3.1. Atividades desenvolvidas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34</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3.2. Informações societárias e governança corporativa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34</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3.3. Estruturas de controles internos e gerenciamento de riscos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36</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3.4. Fatores de risco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41</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3.5. Dados econômico-financeiros e comentários sobre o desempenho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43</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3.6. Políticas e práticas de governança corporativa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47</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3.7. Descrição da composição e da remuneração da administração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49</w:t>
            </w:r>
          </w:p>
        </w:tc>
      </w:tr>
      <w:tr w:rsidR="004C3C95">
        <w:tc>
          <w:tcPr>
            <w:tcW w:w="8359" w:type="dxa"/>
          </w:tcPr>
          <w:p w:rsidR="004C3C95" w:rsidRDefault="004C3C95" w:rsidP="004C3C95">
            <w:pPr>
              <w:spacing w:line="276" w:lineRule="auto"/>
              <w:ind w:right="-143"/>
              <w:rPr>
                <w:rFonts w:ascii="Calibri" w:eastAsia="Calibri" w:hAnsi="Calibri" w:cs="Calibri"/>
              </w:rPr>
            </w:pPr>
            <w:r>
              <w:rPr>
                <w:rFonts w:ascii="Calibri" w:eastAsia="Calibri" w:hAnsi="Calibri" w:cs="Calibri"/>
              </w:rPr>
              <w:t>3.8. Inovações em governança corporativa …………………………………………………………………………..</w:t>
            </w:r>
          </w:p>
          <w:p w:rsidR="004C3C95" w:rsidRPr="000E6639" w:rsidRDefault="004C3C95" w:rsidP="004C3C95">
            <w:pPr>
              <w:spacing w:line="276" w:lineRule="auto"/>
              <w:ind w:right="-143"/>
              <w:rPr>
                <w:rFonts w:ascii="Calibri" w:eastAsia="Calibri" w:hAnsi="Calibri" w:cs="Calibri"/>
                <w:sz w:val="10"/>
                <w:szCs w:val="10"/>
              </w:rPr>
            </w:pPr>
          </w:p>
        </w:tc>
        <w:tc>
          <w:tcPr>
            <w:tcW w:w="561" w:type="dxa"/>
          </w:tcPr>
          <w:p w:rsidR="004C3C95" w:rsidRDefault="00863BFB" w:rsidP="004C3C95">
            <w:pPr>
              <w:spacing w:line="276" w:lineRule="auto"/>
              <w:ind w:right="-143"/>
              <w:rPr>
                <w:rFonts w:ascii="Calibri" w:eastAsia="Calibri" w:hAnsi="Calibri" w:cs="Calibri"/>
              </w:rPr>
            </w:pPr>
            <w:r>
              <w:rPr>
                <w:rFonts w:ascii="Calibri" w:eastAsia="Calibri" w:hAnsi="Calibri" w:cs="Calibri"/>
              </w:rPr>
              <w:t>52</w:t>
            </w:r>
          </w:p>
        </w:tc>
      </w:tr>
    </w:tbl>
    <w:p w:rsidR="003073A4" w:rsidRDefault="003073A4">
      <w:pPr>
        <w:pBdr>
          <w:top w:val="nil"/>
          <w:left w:val="nil"/>
          <w:bottom w:val="nil"/>
          <w:right w:val="nil"/>
          <w:between w:val="nil"/>
        </w:pBdr>
        <w:spacing w:before="120" w:after="120" w:line="360" w:lineRule="auto"/>
        <w:ind w:right="195"/>
        <w:jc w:val="right"/>
        <w:rPr>
          <w:color w:val="FF0000"/>
        </w:rPr>
      </w:pPr>
    </w:p>
    <w:p w:rsidR="003073A4" w:rsidRDefault="003073A4">
      <w:pPr>
        <w:pBdr>
          <w:top w:val="nil"/>
          <w:left w:val="nil"/>
          <w:bottom w:val="nil"/>
          <w:right w:val="nil"/>
          <w:between w:val="nil"/>
        </w:pBdr>
        <w:spacing w:before="120" w:after="120" w:line="360" w:lineRule="auto"/>
        <w:ind w:right="195"/>
        <w:jc w:val="right"/>
        <w:rPr>
          <w:color w:val="FF0000"/>
        </w:rPr>
      </w:pPr>
    </w:p>
    <w:p w:rsidR="003073A4" w:rsidRDefault="000545DD">
      <w:pPr>
        <w:pBdr>
          <w:top w:val="nil"/>
          <w:left w:val="nil"/>
          <w:bottom w:val="nil"/>
          <w:right w:val="nil"/>
          <w:between w:val="nil"/>
        </w:pBdr>
        <w:spacing w:before="120" w:after="120" w:line="360" w:lineRule="auto"/>
        <w:ind w:right="195"/>
        <w:jc w:val="center"/>
        <w:rPr>
          <w:color w:val="000000"/>
        </w:rPr>
        <w:sectPr w:rsidR="003073A4">
          <w:pgSz w:w="11910" w:h="16840"/>
          <w:pgMar w:top="1580" w:right="1500" w:bottom="280" w:left="1480" w:header="720" w:footer="720" w:gutter="0"/>
          <w:cols w:space="720"/>
        </w:sectPr>
      </w:pPr>
      <w:r>
        <w:rPr>
          <w:color w:val="000000"/>
        </w:rPr>
        <w:t xml:space="preserve">Aprovado em Deliberação CONSAD nº </w:t>
      </w:r>
    </w:p>
    <w:p w:rsidR="003073A4" w:rsidRDefault="000545DD">
      <w:pPr>
        <w:spacing w:before="35"/>
        <w:ind w:left="943" w:right="923"/>
        <w:jc w:val="center"/>
        <w:rPr>
          <w:b/>
          <w:bCs/>
          <w:sz w:val="24"/>
          <w:szCs w:val="24"/>
        </w:rPr>
      </w:pPr>
      <w:r>
        <w:rPr>
          <w:b/>
          <w:bCs/>
          <w:sz w:val="24"/>
          <w:szCs w:val="24"/>
        </w:rPr>
        <w:lastRenderedPageBreak/>
        <w:t>COMPANHIA DOCAS DO CEARÁ</w:t>
      </w:r>
    </w:p>
    <w:p w:rsidR="003073A4" w:rsidRDefault="000545DD">
      <w:pPr>
        <w:spacing w:before="183"/>
        <w:ind w:left="943" w:right="927"/>
        <w:jc w:val="center"/>
        <w:rPr>
          <w:b/>
          <w:bCs/>
          <w:sz w:val="24"/>
          <w:szCs w:val="24"/>
        </w:rPr>
      </w:pPr>
      <w:r>
        <w:rPr>
          <w:b/>
          <w:bCs/>
          <w:sz w:val="24"/>
          <w:szCs w:val="24"/>
        </w:rPr>
        <w:t>CARTA ANUAL DE POLÍTICAS PÚBLICAS E GOVERNANÇA CORPORATIVA</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pBdr>
          <w:top w:val="nil"/>
          <w:left w:val="nil"/>
          <w:bottom w:val="nil"/>
          <w:right w:val="nil"/>
          <w:between w:val="nil"/>
        </w:pBdr>
        <w:spacing w:before="120" w:after="120" w:line="360" w:lineRule="auto"/>
        <w:ind w:right="195"/>
        <w:rPr>
          <w:b/>
          <w:bCs/>
          <w:color w:val="000000"/>
        </w:rPr>
      </w:pPr>
      <w:r>
        <w:rPr>
          <w:b/>
          <w:bCs/>
          <w:color w:val="000000"/>
        </w:rPr>
        <w:t>LISTA DE ABREVIATURAS E SIGLAS</w:t>
      </w:r>
    </w:p>
    <w:tbl>
      <w:tblPr>
        <w:tblStyle w:val="a0"/>
        <w:tblW w:w="866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6"/>
        <w:gridCol w:w="7392"/>
      </w:tblGrid>
      <w:tr w:rsidR="003073A4" w:rsidTr="000E6639">
        <w:tc>
          <w:tcPr>
            <w:tcW w:w="1276" w:type="dxa"/>
          </w:tcPr>
          <w:p w:rsidR="003073A4" w:rsidRPr="000E6639" w:rsidRDefault="000545DD">
            <w:pPr>
              <w:spacing w:after="120"/>
              <w:rPr>
                <w:rFonts w:asciiTheme="majorHAnsi" w:hAnsiTheme="majorHAnsi" w:cstheme="majorHAnsi"/>
              </w:rPr>
            </w:pPr>
            <w:r w:rsidRPr="000E6639">
              <w:rPr>
                <w:rFonts w:asciiTheme="majorHAnsi" w:hAnsiTheme="majorHAnsi" w:cstheme="majorHAnsi"/>
              </w:rPr>
              <w:t>ANTAQ</w:t>
            </w:r>
          </w:p>
          <w:p w:rsidR="003073A4" w:rsidRPr="000E6639" w:rsidRDefault="000545DD">
            <w:pPr>
              <w:spacing w:after="120"/>
              <w:rPr>
                <w:rFonts w:asciiTheme="majorHAnsi" w:hAnsiTheme="majorHAnsi" w:cstheme="majorHAnsi"/>
              </w:rPr>
            </w:pPr>
            <w:r w:rsidRPr="000E6639">
              <w:rPr>
                <w:rFonts w:asciiTheme="majorHAnsi" w:hAnsiTheme="majorHAnsi" w:cstheme="majorHAnsi"/>
              </w:rPr>
              <w:t>ANVISA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CDC</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CODCON</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CODPLA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CONFIS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CONSAD</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DIAFIN</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DIRCOM</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DIREXE</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DIEGEP</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DIRPRE</w:t>
            </w:r>
          </w:p>
          <w:p w:rsidR="003073A4" w:rsidRPr="000E6639" w:rsidRDefault="000545DD">
            <w:pPr>
              <w:spacing w:after="120"/>
              <w:rPr>
                <w:rFonts w:asciiTheme="majorHAnsi" w:hAnsiTheme="majorHAnsi" w:cstheme="majorHAnsi"/>
              </w:rPr>
            </w:pPr>
            <w:r w:rsidRPr="000E6639">
              <w:rPr>
                <w:rFonts w:asciiTheme="majorHAnsi" w:hAnsiTheme="majorHAnsi" w:cstheme="majorHAnsi"/>
              </w:rPr>
              <w:t>EBITDA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ESG</w:t>
            </w:r>
          </w:p>
          <w:p w:rsidR="003073A4" w:rsidRPr="000E6639" w:rsidRDefault="000545DD">
            <w:pPr>
              <w:spacing w:after="120"/>
              <w:rPr>
                <w:rFonts w:asciiTheme="majorHAnsi" w:hAnsiTheme="majorHAnsi" w:cstheme="majorHAnsi"/>
              </w:rPr>
            </w:pPr>
            <w:r w:rsidRPr="000E6639">
              <w:rPr>
                <w:rFonts w:asciiTheme="majorHAnsi" w:hAnsiTheme="majorHAnsi" w:cstheme="majorHAnsi"/>
              </w:rPr>
              <w:t>HVM</w:t>
            </w:r>
          </w:p>
          <w:p w:rsidR="003073A4" w:rsidRPr="000E6639" w:rsidRDefault="000545DD">
            <w:pPr>
              <w:spacing w:after="120"/>
              <w:rPr>
                <w:rFonts w:asciiTheme="majorHAnsi" w:hAnsiTheme="majorHAnsi" w:cstheme="majorHAnsi"/>
              </w:rPr>
            </w:pPr>
            <w:r w:rsidRPr="000E6639">
              <w:rPr>
                <w:rFonts w:asciiTheme="majorHAnsi" w:hAnsiTheme="majorHAnsi" w:cstheme="majorHAnsi"/>
              </w:rPr>
              <w:t>IDA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IGAP</w:t>
            </w:r>
          </w:p>
          <w:p w:rsidR="003073A4" w:rsidRPr="000E6639" w:rsidRDefault="000545DD">
            <w:pPr>
              <w:spacing w:after="120"/>
              <w:rPr>
                <w:rFonts w:asciiTheme="majorHAnsi" w:hAnsiTheme="majorHAnsi" w:cstheme="majorHAnsi"/>
              </w:rPr>
            </w:pPr>
            <w:r w:rsidRPr="000E6639">
              <w:rPr>
                <w:rFonts w:asciiTheme="majorHAnsi" w:hAnsiTheme="majorHAnsi" w:cstheme="majorHAnsi"/>
              </w:rPr>
              <w:t>IG-SEST</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MAPA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MPOR</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PDZ</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PLR</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PMBOK</w:t>
            </w:r>
          </w:p>
          <w:p w:rsidR="003073A4" w:rsidRPr="000E6639" w:rsidRDefault="000545DD">
            <w:pPr>
              <w:spacing w:after="120"/>
              <w:rPr>
                <w:rFonts w:asciiTheme="majorHAnsi" w:hAnsiTheme="majorHAnsi" w:cstheme="majorHAnsi"/>
              </w:rPr>
            </w:pPr>
            <w:r w:rsidRPr="000E6639">
              <w:rPr>
                <w:rFonts w:asciiTheme="majorHAnsi" w:hAnsiTheme="majorHAnsi" w:cstheme="majorHAnsi"/>
              </w:rPr>
              <w:t>RVA</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RFB</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RMR</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TEU</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TI</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TIC</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PNT</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lastRenderedPageBreak/>
              <w:t>PNL</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SNP</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PPA</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TMP</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CGU</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TCU</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OCR</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EGP</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COAUD</w:t>
            </w:r>
          </w:p>
          <w:p w:rsidR="003073A4" w:rsidRPr="000E6639" w:rsidRDefault="000545DD">
            <w:pPr>
              <w:spacing w:after="120"/>
              <w:rPr>
                <w:rFonts w:asciiTheme="majorHAnsi" w:hAnsiTheme="majorHAnsi" w:cstheme="majorHAnsi"/>
              </w:rPr>
            </w:pPr>
            <w:r w:rsidRPr="000E6639">
              <w:rPr>
                <w:rFonts w:asciiTheme="majorHAnsi" w:hAnsiTheme="majorHAnsi" w:cstheme="majorHAnsi"/>
              </w:rPr>
              <w:t>SEST</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MGI</w:t>
            </w:r>
          </w:p>
        </w:tc>
        <w:tc>
          <w:tcPr>
            <w:tcW w:w="7392" w:type="dxa"/>
          </w:tcPr>
          <w:p w:rsidR="003073A4" w:rsidRPr="000E6639" w:rsidRDefault="000545DD">
            <w:pPr>
              <w:spacing w:after="120"/>
              <w:rPr>
                <w:rFonts w:asciiTheme="majorHAnsi" w:hAnsiTheme="majorHAnsi" w:cstheme="majorHAnsi"/>
              </w:rPr>
            </w:pPr>
            <w:r w:rsidRPr="000E6639">
              <w:rPr>
                <w:rFonts w:asciiTheme="majorHAnsi" w:hAnsiTheme="majorHAnsi" w:cstheme="majorHAnsi"/>
              </w:rPr>
              <w:lastRenderedPageBreak/>
              <w:t>Agência Nacional de Transportes Aquaviários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Agência Nacional de Vigilância Sanitária </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Companhia Docas do Ceará</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Coordenadoria de Controle Interno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Coordenadoria de Planejamento Estratégico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Conselho Fiscal</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Conselho de Administração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Diretoria de Administração e Finanças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 xml:space="preserve">Diretoria Comercial </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Diretoria Executiva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Diretoria de Infraestrutura e Gestão Portuária</w:t>
            </w:r>
          </w:p>
          <w:p w:rsidR="003073A4" w:rsidRPr="000E6639" w:rsidRDefault="000545DD">
            <w:pPr>
              <w:spacing w:after="120"/>
              <w:rPr>
                <w:rFonts w:asciiTheme="majorHAnsi" w:hAnsiTheme="majorHAnsi" w:cstheme="majorHAnsi"/>
                <w:lang w:val="en-US"/>
              </w:rPr>
            </w:pPr>
            <w:r w:rsidRPr="000E6639">
              <w:rPr>
                <w:rFonts w:asciiTheme="majorHAnsi" w:hAnsiTheme="majorHAnsi" w:cstheme="majorHAnsi"/>
                <w:lang w:val="en-US"/>
              </w:rPr>
              <w:t>Diretoria da Presidência</w:t>
            </w:r>
          </w:p>
          <w:p w:rsidR="003073A4" w:rsidRPr="000E6639" w:rsidRDefault="000545DD">
            <w:pPr>
              <w:spacing w:after="120"/>
              <w:rPr>
                <w:rFonts w:asciiTheme="majorHAnsi" w:hAnsiTheme="majorHAnsi" w:cstheme="majorHAnsi"/>
                <w:i/>
                <w:lang w:val="en-US"/>
              </w:rPr>
            </w:pPr>
            <w:r w:rsidRPr="000E6639">
              <w:rPr>
                <w:rFonts w:asciiTheme="majorHAnsi" w:hAnsiTheme="majorHAnsi" w:cstheme="majorHAnsi"/>
                <w:i/>
                <w:lang w:val="en-US"/>
              </w:rPr>
              <w:t>Earnings before interest, taxes, depreciation and amortization</w:t>
            </w:r>
          </w:p>
          <w:p w:rsidR="003073A4" w:rsidRPr="000E6639" w:rsidRDefault="000545DD">
            <w:pPr>
              <w:spacing w:after="120"/>
              <w:rPr>
                <w:rFonts w:asciiTheme="majorHAnsi" w:hAnsiTheme="majorHAnsi" w:cstheme="majorHAnsi"/>
                <w:i/>
                <w:iCs/>
              </w:rPr>
            </w:pPr>
            <w:r w:rsidRPr="000E6639">
              <w:rPr>
                <w:rFonts w:asciiTheme="majorHAnsi" w:hAnsiTheme="majorHAnsi" w:cstheme="majorHAnsi"/>
                <w:i/>
                <w:iCs/>
              </w:rPr>
              <w:t>Environmental, Social and Governance</w:t>
            </w:r>
          </w:p>
          <w:p w:rsidR="003073A4" w:rsidRPr="000E6639" w:rsidRDefault="000545DD">
            <w:pPr>
              <w:spacing w:after="120"/>
              <w:rPr>
                <w:rFonts w:asciiTheme="majorHAnsi" w:hAnsiTheme="majorHAnsi" w:cstheme="majorHAnsi"/>
              </w:rPr>
            </w:pPr>
            <w:r w:rsidRPr="000E6639">
              <w:rPr>
                <w:rFonts w:asciiTheme="majorHAnsi" w:hAnsiTheme="majorHAnsi" w:cstheme="majorHAnsi"/>
              </w:rPr>
              <w:t>Honorário Variável Mensal </w:t>
            </w:r>
          </w:p>
          <w:p w:rsidR="003073A4" w:rsidRPr="000E6639" w:rsidRDefault="000545DD">
            <w:pPr>
              <w:spacing w:after="120"/>
              <w:rPr>
                <w:rFonts w:asciiTheme="majorHAnsi" w:hAnsiTheme="majorHAnsi" w:cstheme="majorHAnsi"/>
              </w:rPr>
            </w:pPr>
            <w:r w:rsidRPr="000E6639">
              <w:rPr>
                <w:rFonts w:asciiTheme="majorHAnsi" w:hAnsiTheme="majorHAnsi" w:cstheme="majorHAnsi"/>
              </w:rPr>
              <w:t>Índice de Desenvolvimento Ambiental</w:t>
            </w:r>
          </w:p>
          <w:p w:rsidR="003073A4" w:rsidRPr="000E6639" w:rsidRDefault="000545DD">
            <w:pPr>
              <w:spacing w:after="120"/>
              <w:rPr>
                <w:rFonts w:asciiTheme="majorHAnsi" w:hAnsiTheme="majorHAnsi" w:cstheme="majorHAnsi"/>
              </w:rPr>
            </w:pPr>
            <w:r w:rsidRPr="000E6639">
              <w:rPr>
                <w:rFonts w:asciiTheme="majorHAnsi" w:hAnsiTheme="majorHAnsi" w:cstheme="majorHAnsi"/>
              </w:rPr>
              <w:t>Índice de Gestão da Autoridade Portuária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Índice de Governança da Secretaria de Coordenação das Estatais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Ministério de Agricultura e Pecuária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Ministério dos Portos e Aeroportos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Plano de Desenvolvimento e Zoneamento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Participação nos Lucros e Resultados</w:t>
            </w:r>
          </w:p>
          <w:p w:rsidR="003073A4" w:rsidRPr="000E6639" w:rsidRDefault="000545DD">
            <w:pPr>
              <w:spacing w:after="120"/>
              <w:rPr>
                <w:rFonts w:asciiTheme="majorHAnsi" w:hAnsiTheme="majorHAnsi" w:cstheme="majorHAnsi"/>
                <w:i/>
                <w:iCs/>
              </w:rPr>
            </w:pPr>
            <w:r w:rsidRPr="000E6639">
              <w:rPr>
                <w:rFonts w:asciiTheme="majorHAnsi" w:hAnsiTheme="majorHAnsi" w:cstheme="majorHAnsi"/>
                <w:i/>
                <w:iCs/>
              </w:rPr>
              <w:t>Project Management Body of Knowledge</w:t>
            </w:r>
          </w:p>
          <w:p w:rsidR="003073A4" w:rsidRPr="000E6639" w:rsidRDefault="000545DD">
            <w:pPr>
              <w:spacing w:after="120"/>
              <w:rPr>
                <w:rFonts w:asciiTheme="majorHAnsi" w:hAnsiTheme="majorHAnsi" w:cstheme="majorHAnsi"/>
              </w:rPr>
            </w:pPr>
            <w:r w:rsidRPr="000E6639">
              <w:rPr>
                <w:rFonts w:asciiTheme="majorHAnsi" w:hAnsiTheme="majorHAnsi" w:cstheme="majorHAnsi"/>
              </w:rPr>
              <w:t>Remuneração Variável Anual dos Dirigentes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Receita Federal do Brasil</w:t>
            </w:r>
          </w:p>
          <w:p w:rsidR="003073A4" w:rsidRPr="000E6639" w:rsidRDefault="000545DD">
            <w:pPr>
              <w:spacing w:after="120"/>
              <w:rPr>
                <w:rFonts w:asciiTheme="majorHAnsi" w:hAnsiTheme="majorHAnsi" w:cstheme="majorHAnsi"/>
              </w:rPr>
            </w:pPr>
            <w:r w:rsidRPr="000E6639">
              <w:rPr>
                <w:rFonts w:asciiTheme="majorHAnsi" w:hAnsiTheme="majorHAnsi" w:cstheme="majorHAnsi"/>
              </w:rPr>
              <w:t>Reunião de Monitoramento de Resultados</w:t>
            </w:r>
          </w:p>
          <w:p w:rsidR="003073A4" w:rsidRPr="000E6639" w:rsidRDefault="000545DD">
            <w:pPr>
              <w:spacing w:after="120"/>
              <w:rPr>
                <w:rFonts w:asciiTheme="majorHAnsi" w:hAnsiTheme="majorHAnsi" w:cstheme="majorHAnsi"/>
              </w:rPr>
            </w:pPr>
            <w:r w:rsidRPr="000E6639">
              <w:rPr>
                <w:rFonts w:asciiTheme="majorHAnsi" w:hAnsiTheme="majorHAnsi" w:cstheme="majorHAnsi"/>
                <w:i/>
                <w:iCs/>
              </w:rPr>
              <w:t>Twenty feet Equivalent Unit</w:t>
            </w:r>
            <w:r w:rsidRPr="000E6639">
              <w:rPr>
                <w:rFonts w:asciiTheme="majorHAnsi" w:hAnsiTheme="majorHAnsi" w:cstheme="majorHAnsi"/>
              </w:rPr>
              <w:t> (unid</w:t>
            </w:r>
            <w:r w:rsidR="000E6639" w:rsidRPr="000E6639">
              <w:rPr>
                <w:rFonts w:asciiTheme="majorHAnsi" w:hAnsiTheme="majorHAnsi" w:cstheme="majorHAnsi"/>
              </w:rPr>
              <w:t>.</w:t>
            </w:r>
            <w:r w:rsidRPr="000E6639">
              <w:rPr>
                <w:rFonts w:asciiTheme="majorHAnsi" w:hAnsiTheme="majorHAnsi" w:cstheme="majorHAnsi"/>
              </w:rPr>
              <w:t xml:space="preserve"> equivalente a um contêiner de 20 pés)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Tecnologia da Informação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Tecnologia da Informação e Comunicação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Política Nacional de Transportes</w:t>
            </w:r>
          </w:p>
          <w:p w:rsidR="003073A4" w:rsidRPr="000E6639" w:rsidRDefault="000545DD">
            <w:pPr>
              <w:spacing w:after="120"/>
              <w:rPr>
                <w:rFonts w:asciiTheme="majorHAnsi" w:hAnsiTheme="majorHAnsi" w:cstheme="majorHAnsi"/>
              </w:rPr>
            </w:pPr>
            <w:r w:rsidRPr="000E6639">
              <w:rPr>
                <w:rFonts w:asciiTheme="majorHAnsi" w:hAnsiTheme="majorHAnsi" w:cstheme="majorHAnsi"/>
              </w:rPr>
              <w:lastRenderedPageBreak/>
              <w:t>Política Nacional de Logística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 Secretaria Nacional de Portos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Plano Plurianual</w:t>
            </w:r>
          </w:p>
          <w:p w:rsidR="003073A4" w:rsidRPr="000E6639" w:rsidRDefault="000545DD">
            <w:pPr>
              <w:spacing w:after="120"/>
              <w:rPr>
                <w:rFonts w:asciiTheme="majorHAnsi" w:hAnsiTheme="majorHAnsi" w:cstheme="majorHAnsi"/>
              </w:rPr>
            </w:pPr>
            <w:r w:rsidRPr="000E6639">
              <w:rPr>
                <w:rFonts w:asciiTheme="majorHAnsi" w:hAnsiTheme="majorHAnsi" w:cstheme="majorHAnsi"/>
              </w:rPr>
              <w:t>Terminal Marítimo de Passageiros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Controladoria Geral da União</w:t>
            </w:r>
          </w:p>
          <w:p w:rsidR="003073A4" w:rsidRPr="000E6639" w:rsidRDefault="000545DD">
            <w:pPr>
              <w:spacing w:after="120"/>
              <w:rPr>
                <w:rFonts w:asciiTheme="majorHAnsi" w:hAnsiTheme="majorHAnsi" w:cstheme="majorHAnsi"/>
              </w:rPr>
            </w:pPr>
            <w:r w:rsidRPr="000E6639">
              <w:rPr>
                <w:rFonts w:asciiTheme="majorHAnsi" w:hAnsiTheme="majorHAnsi" w:cstheme="majorHAnsi"/>
              </w:rPr>
              <w:t>Tribunal de Contas da União</w:t>
            </w:r>
          </w:p>
          <w:p w:rsidR="003073A4" w:rsidRPr="000E6639" w:rsidRDefault="000545DD">
            <w:pPr>
              <w:spacing w:after="120"/>
              <w:rPr>
                <w:rFonts w:asciiTheme="majorHAnsi" w:hAnsiTheme="majorHAnsi" w:cstheme="majorHAnsi"/>
              </w:rPr>
            </w:pPr>
            <w:r w:rsidRPr="000E6639">
              <w:rPr>
                <w:rFonts w:asciiTheme="majorHAnsi" w:hAnsiTheme="majorHAnsi" w:cstheme="majorHAnsi"/>
                <w:i/>
                <w:iCs/>
              </w:rPr>
              <w:t>Optical Character Recognition</w:t>
            </w:r>
            <w:r w:rsidRPr="000E6639">
              <w:rPr>
                <w:rFonts w:asciiTheme="majorHAnsi" w:hAnsiTheme="majorHAnsi" w:cstheme="majorHAnsi"/>
              </w:rPr>
              <w:t xml:space="preserve"> (reconhecimento óptico de caracteres) </w:t>
            </w:r>
          </w:p>
          <w:p w:rsidR="003073A4" w:rsidRPr="000E6639" w:rsidRDefault="000545DD">
            <w:pPr>
              <w:spacing w:after="120"/>
              <w:rPr>
                <w:rFonts w:asciiTheme="majorHAnsi" w:hAnsiTheme="majorHAnsi" w:cstheme="majorHAnsi"/>
              </w:rPr>
            </w:pPr>
            <w:r w:rsidRPr="000E6639">
              <w:rPr>
                <w:rFonts w:asciiTheme="majorHAnsi" w:hAnsiTheme="majorHAnsi" w:cstheme="majorHAnsi"/>
              </w:rPr>
              <w:t>Escritório de Gerenciamento de Projetos</w:t>
            </w:r>
          </w:p>
          <w:p w:rsidR="003073A4" w:rsidRPr="000E6639" w:rsidRDefault="000545DD">
            <w:pPr>
              <w:spacing w:after="120"/>
              <w:rPr>
                <w:rFonts w:asciiTheme="majorHAnsi" w:hAnsiTheme="majorHAnsi" w:cstheme="majorHAnsi"/>
              </w:rPr>
            </w:pPr>
            <w:r w:rsidRPr="000E6639">
              <w:rPr>
                <w:rFonts w:asciiTheme="majorHAnsi" w:hAnsiTheme="majorHAnsi" w:cstheme="majorHAnsi"/>
              </w:rPr>
              <w:t>Comitê de Auditoria</w:t>
            </w:r>
          </w:p>
          <w:p w:rsidR="003073A4" w:rsidRPr="000E6639" w:rsidRDefault="000545DD">
            <w:pPr>
              <w:spacing w:after="120"/>
              <w:rPr>
                <w:rFonts w:asciiTheme="majorHAnsi" w:hAnsiTheme="majorHAnsi" w:cstheme="majorHAnsi"/>
              </w:rPr>
            </w:pPr>
            <w:r w:rsidRPr="000E6639">
              <w:rPr>
                <w:rFonts w:asciiTheme="majorHAnsi" w:hAnsiTheme="majorHAnsi" w:cstheme="majorHAnsi"/>
              </w:rPr>
              <w:t>Secretaria de Coordenação e Governança das Empresas Estatais </w:t>
            </w:r>
          </w:p>
          <w:p w:rsidR="003073A4" w:rsidRPr="000E6639" w:rsidRDefault="000545DD">
            <w:pPr>
              <w:spacing w:after="120"/>
              <w:rPr>
                <w:rFonts w:asciiTheme="majorHAnsi" w:hAnsiTheme="majorHAnsi" w:cstheme="majorHAnsi"/>
              </w:rPr>
            </w:pPr>
            <w:r w:rsidRPr="000E6639">
              <w:rPr>
                <w:rFonts w:asciiTheme="majorHAnsi" w:hAnsiTheme="majorHAnsi" w:cstheme="majorHAnsi"/>
              </w:rPr>
              <w:t>Ministério da Gestão e da Inovação em Serviços Públicos</w:t>
            </w:r>
          </w:p>
        </w:tc>
      </w:tr>
    </w:tbl>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pBdr>
          <w:top w:val="nil"/>
          <w:left w:val="nil"/>
          <w:bottom w:val="nil"/>
          <w:right w:val="nil"/>
          <w:between w:val="nil"/>
        </w:pBdr>
        <w:spacing w:before="120" w:after="120" w:line="360" w:lineRule="auto"/>
        <w:ind w:right="195"/>
        <w:jc w:val="both"/>
        <w:rPr>
          <w:b/>
          <w:bCs/>
          <w:color w:val="000000"/>
        </w:rPr>
      </w:pPr>
      <w:r>
        <w:rPr>
          <w:b/>
          <w:bCs/>
          <w:color w:val="000000"/>
        </w:rPr>
        <w:t>LISTA DE FIGURAS</w:t>
      </w:r>
    </w:p>
    <w:tbl>
      <w:tblPr>
        <w:tblStyle w:val="a1"/>
        <w:tblW w:w="84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35"/>
        <w:gridCol w:w="460"/>
      </w:tblGrid>
      <w:tr w:rsidR="003073A4">
        <w:tc>
          <w:tcPr>
            <w:tcW w:w="8035" w:type="dxa"/>
          </w:tcPr>
          <w:p w:rsidR="003073A4" w:rsidRDefault="000545DD">
            <w:pPr>
              <w:jc w:val="left"/>
              <w:rPr>
                <w:rFonts w:ascii="Calibri" w:eastAsia="Calibri" w:hAnsi="Calibri" w:cs="Calibri"/>
              </w:rPr>
            </w:pPr>
            <w:r>
              <w:rPr>
                <w:rFonts w:ascii="Calibri" w:eastAsia="Calibri" w:hAnsi="Calibri" w:cs="Calibri"/>
              </w:rPr>
              <w:t>Figura 1 – Correlação entre instrumentos de planejamento..............................................</w:t>
            </w:r>
          </w:p>
          <w:p w:rsidR="003073A4" w:rsidRDefault="003073A4">
            <w:pPr>
              <w:jc w:val="left"/>
              <w:rPr>
                <w:rFonts w:ascii="Calibri" w:eastAsia="Calibri" w:hAnsi="Calibri" w:cs="Calibri"/>
              </w:rPr>
            </w:pPr>
          </w:p>
        </w:tc>
        <w:tc>
          <w:tcPr>
            <w:tcW w:w="460" w:type="dxa"/>
          </w:tcPr>
          <w:p w:rsidR="003073A4" w:rsidRDefault="000545DD">
            <w:pPr>
              <w:rPr>
                <w:rFonts w:ascii="Calibri" w:eastAsia="Calibri" w:hAnsi="Calibri" w:cs="Calibri"/>
              </w:rPr>
            </w:pPr>
            <w:r>
              <w:rPr>
                <w:rFonts w:ascii="Calibri" w:eastAsia="Calibri" w:hAnsi="Calibri" w:cs="Calibri"/>
              </w:rPr>
              <w:t>14</w:t>
            </w:r>
          </w:p>
        </w:tc>
      </w:tr>
      <w:tr w:rsidR="003073A4">
        <w:tc>
          <w:tcPr>
            <w:tcW w:w="8035" w:type="dxa"/>
          </w:tcPr>
          <w:p w:rsidR="003073A4" w:rsidRDefault="000545DD">
            <w:pPr>
              <w:rPr>
                <w:rFonts w:ascii="Calibri" w:eastAsia="Calibri" w:hAnsi="Calibri" w:cs="Calibri"/>
              </w:rPr>
            </w:pPr>
            <w:r>
              <w:rPr>
                <w:rFonts w:ascii="Calibri" w:eastAsia="Calibri" w:hAnsi="Calibri" w:cs="Calibri"/>
              </w:rPr>
              <w:t xml:space="preserve">Figura 2 – Mapa estratégico CDC 2025 -2029...................................................................... </w:t>
            </w:r>
          </w:p>
          <w:p w:rsidR="003073A4" w:rsidRDefault="003073A4">
            <w:pPr>
              <w:jc w:val="left"/>
              <w:rPr>
                <w:rFonts w:ascii="Calibri" w:eastAsia="Calibri" w:hAnsi="Calibri" w:cs="Calibri"/>
              </w:rPr>
            </w:pPr>
          </w:p>
        </w:tc>
        <w:tc>
          <w:tcPr>
            <w:tcW w:w="460" w:type="dxa"/>
          </w:tcPr>
          <w:p w:rsidR="003073A4" w:rsidRDefault="000545DD">
            <w:pPr>
              <w:rPr>
                <w:rFonts w:ascii="Calibri" w:eastAsia="Calibri" w:hAnsi="Calibri" w:cs="Calibri"/>
              </w:rPr>
            </w:pPr>
            <w:r>
              <w:rPr>
                <w:rFonts w:ascii="Calibri" w:eastAsia="Calibri" w:hAnsi="Calibri" w:cs="Calibri"/>
              </w:rPr>
              <w:t>15</w:t>
            </w:r>
          </w:p>
        </w:tc>
      </w:tr>
      <w:tr w:rsidR="003073A4">
        <w:tc>
          <w:tcPr>
            <w:tcW w:w="8035" w:type="dxa"/>
          </w:tcPr>
          <w:p w:rsidR="003073A4" w:rsidRDefault="000545DD">
            <w:pPr>
              <w:rPr>
                <w:rFonts w:ascii="Calibri" w:eastAsia="Calibri" w:hAnsi="Calibri" w:cs="Calibri"/>
              </w:rPr>
            </w:pPr>
            <w:r>
              <w:rPr>
                <w:rFonts w:ascii="Calibri" w:eastAsia="Calibri" w:hAnsi="Calibri" w:cs="Calibri"/>
              </w:rPr>
              <w:t>Figura 3 – Alinhamento do Planejamento Estratégico com os ODS ....................................</w:t>
            </w:r>
          </w:p>
          <w:p w:rsidR="003073A4" w:rsidRDefault="003073A4">
            <w:pPr>
              <w:rPr>
                <w:rFonts w:ascii="Calibri" w:eastAsia="Calibri" w:hAnsi="Calibri" w:cs="Calibri"/>
              </w:rPr>
            </w:pPr>
          </w:p>
        </w:tc>
        <w:tc>
          <w:tcPr>
            <w:tcW w:w="460" w:type="dxa"/>
          </w:tcPr>
          <w:p w:rsidR="003073A4" w:rsidRDefault="000545DD" w:rsidP="00AE0880">
            <w:pPr>
              <w:rPr>
                <w:rFonts w:ascii="Calibri" w:eastAsia="Calibri" w:hAnsi="Calibri" w:cs="Calibri"/>
              </w:rPr>
            </w:pPr>
            <w:r>
              <w:rPr>
                <w:rFonts w:ascii="Calibri" w:eastAsia="Calibri" w:hAnsi="Calibri" w:cs="Calibri"/>
              </w:rPr>
              <w:t>3</w:t>
            </w:r>
            <w:r w:rsidR="00AE0880">
              <w:rPr>
                <w:rFonts w:ascii="Calibri" w:eastAsia="Calibri" w:hAnsi="Calibri" w:cs="Calibri"/>
              </w:rPr>
              <w:t>2</w:t>
            </w:r>
          </w:p>
        </w:tc>
      </w:tr>
      <w:tr w:rsidR="003073A4">
        <w:tc>
          <w:tcPr>
            <w:tcW w:w="8035" w:type="dxa"/>
          </w:tcPr>
          <w:p w:rsidR="003073A4" w:rsidRDefault="000545DD">
            <w:pPr>
              <w:rPr>
                <w:rFonts w:ascii="Calibri" w:eastAsia="Calibri" w:hAnsi="Calibri" w:cs="Calibri"/>
              </w:rPr>
            </w:pPr>
            <w:r>
              <w:rPr>
                <w:rFonts w:ascii="Calibri" w:eastAsia="Calibri" w:hAnsi="Calibri" w:cs="Calibri"/>
              </w:rPr>
              <w:t>Figura 4 – Cadeia de Valor da CDC......................................................................................</w:t>
            </w:r>
          </w:p>
          <w:p w:rsidR="003073A4" w:rsidRDefault="003073A4">
            <w:pPr>
              <w:rPr>
                <w:rFonts w:ascii="Calibri" w:eastAsia="Calibri" w:hAnsi="Calibri" w:cs="Calibri"/>
              </w:rPr>
            </w:pPr>
          </w:p>
        </w:tc>
        <w:tc>
          <w:tcPr>
            <w:tcW w:w="460" w:type="dxa"/>
          </w:tcPr>
          <w:p w:rsidR="003073A4" w:rsidRDefault="000545DD" w:rsidP="00863BFB">
            <w:pPr>
              <w:rPr>
                <w:rFonts w:ascii="Calibri" w:eastAsia="Calibri" w:hAnsi="Calibri" w:cs="Calibri"/>
              </w:rPr>
            </w:pPr>
            <w:r>
              <w:rPr>
                <w:rFonts w:ascii="Calibri" w:eastAsia="Calibri" w:hAnsi="Calibri" w:cs="Calibri"/>
              </w:rPr>
              <w:t>3</w:t>
            </w:r>
            <w:r w:rsidR="00863BFB">
              <w:rPr>
                <w:rFonts w:ascii="Calibri" w:eastAsia="Calibri" w:hAnsi="Calibri" w:cs="Calibri"/>
              </w:rPr>
              <w:t>4</w:t>
            </w:r>
          </w:p>
        </w:tc>
      </w:tr>
      <w:tr w:rsidR="003073A4">
        <w:tc>
          <w:tcPr>
            <w:tcW w:w="8035" w:type="dxa"/>
          </w:tcPr>
          <w:p w:rsidR="003073A4" w:rsidRDefault="000545DD">
            <w:pPr>
              <w:rPr>
                <w:rFonts w:ascii="Calibri" w:eastAsia="Calibri" w:hAnsi="Calibri" w:cs="Calibri"/>
              </w:rPr>
            </w:pPr>
            <w:r>
              <w:rPr>
                <w:rFonts w:ascii="Calibri" w:eastAsia="Calibri" w:hAnsi="Calibri" w:cs="Calibri"/>
              </w:rPr>
              <w:t>Figura 5 – Governança Corporativa ………............................................................................</w:t>
            </w:r>
          </w:p>
          <w:p w:rsidR="003073A4" w:rsidRDefault="000545DD">
            <w:pPr>
              <w:jc w:val="left"/>
              <w:rPr>
                <w:rFonts w:ascii="Calibri" w:eastAsia="Calibri" w:hAnsi="Calibri" w:cs="Calibri"/>
              </w:rPr>
            </w:pPr>
            <w:r>
              <w:rPr>
                <w:rFonts w:ascii="Calibri" w:eastAsia="Calibri" w:hAnsi="Calibri" w:cs="Calibri"/>
              </w:rPr>
              <w:t xml:space="preserve"> </w:t>
            </w:r>
          </w:p>
        </w:tc>
        <w:tc>
          <w:tcPr>
            <w:tcW w:w="460" w:type="dxa"/>
          </w:tcPr>
          <w:p w:rsidR="003073A4" w:rsidRDefault="000545DD">
            <w:pPr>
              <w:rPr>
                <w:rFonts w:ascii="Calibri" w:eastAsia="Calibri" w:hAnsi="Calibri" w:cs="Calibri"/>
              </w:rPr>
            </w:pPr>
            <w:r>
              <w:rPr>
                <w:rFonts w:ascii="Calibri" w:eastAsia="Calibri" w:hAnsi="Calibri" w:cs="Calibri"/>
              </w:rPr>
              <w:t>35</w:t>
            </w:r>
          </w:p>
        </w:tc>
      </w:tr>
      <w:tr w:rsidR="003073A4">
        <w:tc>
          <w:tcPr>
            <w:tcW w:w="8035" w:type="dxa"/>
          </w:tcPr>
          <w:p w:rsidR="003073A4" w:rsidRDefault="000545DD">
            <w:pPr>
              <w:rPr>
                <w:rFonts w:ascii="Calibri" w:eastAsia="Calibri" w:hAnsi="Calibri" w:cs="Calibri"/>
              </w:rPr>
            </w:pPr>
            <w:r>
              <w:rPr>
                <w:rFonts w:ascii="Calibri" w:eastAsia="Calibri" w:hAnsi="Calibri" w:cs="Calibri"/>
              </w:rPr>
              <w:t>Figura 6 – Processo de Gestão de Riscos …..........................................................................</w:t>
            </w:r>
          </w:p>
          <w:p w:rsidR="003073A4" w:rsidRDefault="003073A4">
            <w:pPr>
              <w:pBdr>
                <w:top w:val="nil"/>
                <w:left w:val="nil"/>
                <w:bottom w:val="nil"/>
                <w:right w:val="nil"/>
                <w:between w:val="nil"/>
              </w:pBdr>
              <w:spacing w:after="160"/>
              <w:jc w:val="left"/>
              <w:rPr>
                <w:rFonts w:ascii="Calibri" w:eastAsia="Calibri" w:hAnsi="Calibri" w:cs="Calibri"/>
                <w:color w:val="000000"/>
              </w:rPr>
            </w:pPr>
          </w:p>
        </w:tc>
        <w:tc>
          <w:tcPr>
            <w:tcW w:w="460" w:type="dxa"/>
          </w:tcPr>
          <w:p w:rsidR="003073A4" w:rsidRDefault="00863BFB">
            <w:pPr>
              <w:rPr>
                <w:rFonts w:ascii="Calibri" w:eastAsia="Calibri" w:hAnsi="Calibri" w:cs="Calibri"/>
              </w:rPr>
            </w:pPr>
            <w:r>
              <w:rPr>
                <w:rFonts w:ascii="Calibri" w:eastAsia="Calibri" w:hAnsi="Calibri" w:cs="Calibri"/>
              </w:rPr>
              <w:t>38</w:t>
            </w:r>
          </w:p>
        </w:tc>
      </w:tr>
      <w:tr w:rsidR="003073A4">
        <w:tc>
          <w:tcPr>
            <w:tcW w:w="8035" w:type="dxa"/>
          </w:tcPr>
          <w:p w:rsidR="003073A4" w:rsidRDefault="000545DD">
            <w:pPr>
              <w:pBdr>
                <w:top w:val="nil"/>
                <w:left w:val="nil"/>
                <w:bottom w:val="nil"/>
                <w:right w:val="nil"/>
                <w:between w:val="nil"/>
              </w:pBdr>
              <w:spacing w:after="160"/>
              <w:jc w:val="left"/>
              <w:rPr>
                <w:rFonts w:ascii="Calibri" w:eastAsia="Calibri" w:hAnsi="Calibri" w:cs="Calibri"/>
                <w:color w:val="000000"/>
              </w:rPr>
            </w:pPr>
            <w:r>
              <w:rPr>
                <w:rFonts w:ascii="Calibri" w:eastAsia="Calibri" w:hAnsi="Calibri" w:cs="Calibri"/>
                <w:color w:val="000000"/>
              </w:rPr>
              <w:t>Figura 7 – Atribuições na Gestão de Riscos.........................................................................</w:t>
            </w:r>
          </w:p>
          <w:p w:rsidR="003073A4" w:rsidRDefault="003073A4">
            <w:pPr>
              <w:pBdr>
                <w:top w:val="nil"/>
                <w:left w:val="nil"/>
                <w:bottom w:val="nil"/>
                <w:right w:val="nil"/>
                <w:between w:val="nil"/>
              </w:pBdr>
              <w:spacing w:after="160"/>
              <w:jc w:val="left"/>
              <w:rPr>
                <w:rFonts w:ascii="Calibri" w:eastAsia="Calibri" w:hAnsi="Calibri" w:cs="Calibri"/>
                <w:color w:val="000000"/>
                <w:sz w:val="4"/>
                <w:szCs w:val="4"/>
              </w:rPr>
            </w:pPr>
          </w:p>
        </w:tc>
        <w:tc>
          <w:tcPr>
            <w:tcW w:w="460" w:type="dxa"/>
          </w:tcPr>
          <w:p w:rsidR="003073A4" w:rsidRDefault="000545DD">
            <w:pPr>
              <w:rPr>
                <w:rFonts w:ascii="Calibri" w:eastAsia="Calibri" w:hAnsi="Calibri" w:cs="Calibri"/>
              </w:rPr>
            </w:pPr>
            <w:r>
              <w:rPr>
                <w:rFonts w:ascii="Calibri" w:eastAsia="Calibri" w:hAnsi="Calibri" w:cs="Calibri"/>
              </w:rPr>
              <w:t>38</w:t>
            </w:r>
          </w:p>
        </w:tc>
      </w:tr>
      <w:tr w:rsidR="003073A4">
        <w:tc>
          <w:tcPr>
            <w:tcW w:w="8035" w:type="dxa"/>
          </w:tcPr>
          <w:p w:rsidR="003073A4" w:rsidRDefault="000545DD">
            <w:pPr>
              <w:pBdr>
                <w:top w:val="nil"/>
                <w:left w:val="nil"/>
                <w:bottom w:val="nil"/>
                <w:right w:val="nil"/>
                <w:between w:val="nil"/>
              </w:pBdr>
              <w:spacing w:after="160"/>
              <w:jc w:val="left"/>
              <w:rPr>
                <w:rFonts w:ascii="Calibri" w:eastAsia="Calibri" w:hAnsi="Calibri" w:cs="Calibri"/>
                <w:color w:val="000000"/>
              </w:rPr>
            </w:pPr>
            <w:r>
              <w:rPr>
                <w:rFonts w:ascii="Calibri" w:eastAsia="Calibri" w:hAnsi="Calibri" w:cs="Calibri"/>
                <w:color w:val="000000"/>
              </w:rPr>
              <w:t>Figura 8 – Sistema de Governança da CDC.........................................................................</w:t>
            </w:r>
          </w:p>
        </w:tc>
        <w:tc>
          <w:tcPr>
            <w:tcW w:w="460" w:type="dxa"/>
          </w:tcPr>
          <w:p w:rsidR="003073A4" w:rsidRDefault="000545DD">
            <w:pPr>
              <w:rPr>
                <w:rFonts w:ascii="Calibri" w:eastAsia="Calibri" w:hAnsi="Calibri" w:cs="Calibri"/>
              </w:rPr>
            </w:pPr>
            <w:r>
              <w:rPr>
                <w:rFonts w:ascii="Calibri" w:eastAsia="Calibri" w:hAnsi="Calibri" w:cs="Calibri"/>
              </w:rPr>
              <w:t>39</w:t>
            </w:r>
          </w:p>
        </w:tc>
      </w:tr>
    </w:tbl>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E6639">
      <w:pPr>
        <w:pBdr>
          <w:top w:val="nil"/>
          <w:left w:val="nil"/>
          <w:bottom w:val="nil"/>
          <w:right w:val="nil"/>
          <w:between w:val="nil"/>
        </w:pBdr>
        <w:spacing w:before="120" w:after="120" w:line="360" w:lineRule="auto"/>
        <w:ind w:right="195"/>
        <w:jc w:val="both"/>
        <w:rPr>
          <w:b/>
          <w:bCs/>
          <w:color w:val="000000"/>
        </w:rPr>
      </w:pPr>
      <w:r>
        <w:rPr>
          <w:b/>
          <w:bCs/>
          <w:color w:val="000000"/>
        </w:rPr>
        <w:t>L</w:t>
      </w:r>
      <w:r w:rsidR="000545DD">
        <w:rPr>
          <w:b/>
          <w:bCs/>
          <w:color w:val="000000"/>
        </w:rPr>
        <w:t>ISTA DE TABELAS</w:t>
      </w:r>
    </w:p>
    <w:tbl>
      <w:tblPr>
        <w:tblStyle w:val="a2"/>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22"/>
        <w:gridCol w:w="709"/>
      </w:tblGrid>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 – Indicadores do Plano de Negócios e Metas CDC ................................................</w:t>
            </w:r>
          </w:p>
          <w:p w:rsidR="003073A4" w:rsidRPr="000E6639" w:rsidRDefault="003073A4">
            <w:pPr>
              <w:jc w:val="left"/>
              <w:rPr>
                <w:rFonts w:asciiTheme="majorHAnsi" w:hAnsiTheme="majorHAnsi" w:cstheme="majorHAnsi"/>
              </w:rPr>
            </w:pPr>
          </w:p>
        </w:tc>
        <w:tc>
          <w:tcPr>
            <w:tcW w:w="709" w:type="dxa"/>
          </w:tcPr>
          <w:p w:rsidR="003073A4" w:rsidRPr="000E6639" w:rsidRDefault="000545DD" w:rsidP="00AE0880">
            <w:pPr>
              <w:rPr>
                <w:rFonts w:asciiTheme="majorHAnsi" w:hAnsiTheme="majorHAnsi" w:cstheme="majorHAnsi"/>
              </w:rPr>
            </w:pPr>
            <w:r w:rsidRPr="000E6639">
              <w:rPr>
                <w:rFonts w:asciiTheme="majorHAnsi" w:hAnsiTheme="majorHAnsi" w:cstheme="majorHAnsi"/>
              </w:rPr>
              <w:t>1</w:t>
            </w:r>
            <w:r w:rsidR="00AE0880">
              <w:rPr>
                <w:rFonts w:asciiTheme="majorHAnsi" w:hAnsiTheme="majorHAnsi" w:cstheme="majorHAnsi"/>
              </w:rPr>
              <w:t>6</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2 – Execução Orçamentária do OI - CDC ...................................................................</w:t>
            </w:r>
          </w:p>
          <w:p w:rsidR="003073A4" w:rsidRPr="000E6639" w:rsidRDefault="003073A4">
            <w:pPr>
              <w:jc w:val="left"/>
              <w:rPr>
                <w:rFonts w:asciiTheme="majorHAnsi" w:hAnsiTheme="majorHAnsi" w:cstheme="majorHAnsi"/>
              </w:rPr>
            </w:pP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18</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 xml:space="preserve">Tabela 3 – Relação entre investimentos e políticas públicas................................................ </w:t>
            </w:r>
          </w:p>
          <w:p w:rsidR="003073A4" w:rsidRPr="000E6639" w:rsidRDefault="003073A4">
            <w:pPr>
              <w:rPr>
                <w:rFonts w:asciiTheme="majorHAnsi" w:hAnsiTheme="majorHAnsi" w:cstheme="majorHAnsi"/>
              </w:rPr>
            </w:pP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18</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4 – Execução orçamentária do OI 2021 a 2025 ....................................</w:t>
            </w:r>
            <w:r w:rsidR="000E6639">
              <w:rPr>
                <w:rFonts w:asciiTheme="majorHAnsi" w:hAnsiTheme="majorHAnsi" w:cstheme="majorHAnsi"/>
              </w:rPr>
              <w:t>..</w:t>
            </w:r>
            <w:r w:rsidRPr="000E6639">
              <w:rPr>
                <w:rFonts w:asciiTheme="majorHAnsi" w:hAnsiTheme="majorHAnsi" w:cstheme="majorHAnsi"/>
              </w:rPr>
              <w:t xml:space="preserve">................... </w:t>
            </w:r>
          </w:p>
          <w:p w:rsidR="003073A4" w:rsidRPr="000E6639" w:rsidRDefault="000545DD">
            <w:pPr>
              <w:jc w:val="left"/>
              <w:rPr>
                <w:rFonts w:asciiTheme="majorHAnsi" w:hAnsiTheme="majorHAnsi" w:cstheme="majorHAnsi"/>
              </w:rPr>
            </w:pPr>
            <w:r w:rsidRPr="000E6639">
              <w:rPr>
                <w:rFonts w:asciiTheme="majorHAnsi" w:hAnsiTheme="majorHAnsi" w:cstheme="majorHAnsi"/>
              </w:rPr>
              <w:t xml:space="preserve"> </w:t>
            </w: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20</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5 – Resultados financeiros Indicadores Sustentabilidade Financeira (Planejamento Estratégico 2025 - 2029) ……………………….……………………………………………</w:t>
            </w:r>
            <w:r w:rsidR="000E6639">
              <w:rPr>
                <w:rFonts w:asciiTheme="majorHAnsi" w:hAnsiTheme="majorHAnsi" w:cstheme="majorHAnsi"/>
              </w:rPr>
              <w:t>..........................</w:t>
            </w:r>
            <w:r w:rsidRPr="000E6639">
              <w:rPr>
                <w:rFonts w:asciiTheme="majorHAnsi" w:hAnsiTheme="majorHAnsi" w:cstheme="majorHAnsi"/>
              </w:rPr>
              <w:t xml:space="preserve">….. </w:t>
            </w:r>
          </w:p>
        </w:tc>
        <w:tc>
          <w:tcPr>
            <w:tcW w:w="709" w:type="dxa"/>
          </w:tcPr>
          <w:p w:rsidR="003073A4" w:rsidRPr="000E6639" w:rsidRDefault="003073A4">
            <w:pPr>
              <w:rPr>
                <w:rFonts w:asciiTheme="majorHAnsi" w:hAnsiTheme="majorHAnsi" w:cstheme="majorHAnsi"/>
              </w:rPr>
            </w:pPr>
          </w:p>
          <w:p w:rsidR="003073A4" w:rsidRPr="000E6639" w:rsidRDefault="000545DD">
            <w:pPr>
              <w:rPr>
                <w:rFonts w:asciiTheme="majorHAnsi" w:hAnsiTheme="majorHAnsi" w:cstheme="majorHAnsi"/>
              </w:rPr>
            </w:pPr>
            <w:r w:rsidRPr="000E6639">
              <w:rPr>
                <w:rFonts w:asciiTheme="majorHAnsi" w:hAnsiTheme="majorHAnsi" w:cstheme="majorHAnsi"/>
              </w:rPr>
              <w:t>22</w:t>
            </w:r>
          </w:p>
          <w:p w:rsidR="003073A4" w:rsidRPr="000E6639" w:rsidRDefault="003073A4">
            <w:pPr>
              <w:rPr>
                <w:rFonts w:asciiTheme="majorHAnsi" w:hAnsiTheme="majorHAnsi" w:cstheme="majorHAnsi"/>
              </w:rPr>
            </w:pP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6 – Indicadores Sociedade e Mercado (Planejamento Estratégico 2025-2029) ...</w:t>
            </w:r>
            <w:r w:rsidR="000E6639">
              <w:rPr>
                <w:rFonts w:asciiTheme="majorHAnsi" w:hAnsiTheme="majorHAnsi" w:cstheme="majorHAnsi"/>
              </w:rPr>
              <w:t>.</w:t>
            </w:r>
            <w:r w:rsidRPr="000E6639">
              <w:rPr>
                <w:rFonts w:asciiTheme="majorHAnsi" w:hAnsiTheme="majorHAnsi" w:cstheme="majorHAnsi"/>
              </w:rPr>
              <w:t>...</w:t>
            </w:r>
          </w:p>
          <w:p w:rsidR="003073A4" w:rsidRPr="000E6639" w:rsidRDefault="003073A4">
            <w:pPr>
              <w:rPr>
                <w:rFonts w:asciiTheme="majorHAnsi" w:hAnsiTheme="majorHAnsi" w:cstheme="majorHAnsi"/>
              </w:rPr>
            </w:pP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24</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7 – Indicadores processos (Planejamento Estratégico 2025-2029) ................</w:t>
            </w:r>
            <w:r w:rsidR="000E6639">
              <w:rPr>
                <w:rFonts w:asciiTheme="majorHAnsi" w:hAnsiTheme="majorHAnsi" w:cstheme="majorHAnsi"/>
              </w:rPr>
              <w:t>.</w:t>
            </w:r>
            <w:r w:rsidRPr="000E6639">
              <w:rPr>
                <w:rFonts w:asciiTheme="majorHAnsi" w:hAnsiTheme="majorHAnsi" w:cstheme="majorHAnsi"/>
              </w:rPr>
              <w:t>.........</w:t>
            </w:r>
          </w:p>
          <w:p w:rsidR="003073A4" w:rsidRPr="000E6639" w:rsidRDefault="003073A4">
            <w:pPr>
              <w:rPr>
                <w:rFonts w:asciiTheme="majorHAnsi" w:hAnsiTheme="majorHAnsi" w:cstheme="majorHAnsi"/>
              </w:rPr>
            </w:pPr>
          </w:p>
        </w:tc>
        <w:tc>
          <w:tcPr>
            <w:tcW w:w="709" w:type="dxa"/>
          </w:tcPr>
          <w:p w:rsidR="003073A4" w:rsidRPr="000E6639" w:rsidRDefault="000545DD" w:rsidP="00863BFB">
            <w:pPr>
              <w:rPr>
                <w:rFonts w:asciiTheme="majorHAnsi" w:hAnsiTheme="majorHAnsi" w:cstheme="majorHAnsi"/>
              </w:rPr>
            </w:pPr>
            <w:r w:rsidRPr="000E6639">
              <w:rPr>
                <w:rFonts w:asciiTheme="majorHAnsi" w:hAnsiTheme="majorHAnsi" w:cstheme="majorHAnsi"/>
              </w:rPr>
              <w:t>2</w:t>
            </w:r>
            <w:r w:rsidR="00863BFB">
              <w:rPr>
                <w:rFonts w:asciiTheme="majorHAnsi" w:hAnsiTheme="majorHAnsi" w:cstheme="majorHAnsi"/>
              </w:rPr>
              <w:t>6</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8 – Indicadores aprendizado e crescimento (Planejamento Estratégico 2025-2029)</w:t>
            </w:r>
          </w:p>
          <w:p w:rsidR="003073A4" w:rsidRPr="000E6639" w:rsidRDefault="003073A4">
            <w:pPr>
              <w:rPr>
                <w:rFonts w:asciiTheme="majorHAnsi" w:hAnsiTheme="majorHAnsi" w:cstheme="majorHAnsi"/>
              </w:rPr>
            </w:pP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28</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9 – Resultados HVM 2025.........................................................................................</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28</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10 – Indicadores e metas do Planejamento Estratégico - 2026 a 2030...................</w:t>
            </w:r>
          </w:p>
          <w:p w:rsidR="003073A4" w:rsidRPr="000E6639" w:rsidRDefault="003073A4">
            <w:pPr>
              <w:rPr>
                <w:rFonts w:asciiTheme="majorHAnsi" w:hAnsiTheme="majorHAnsi" w:cstheme="majorHAnsi"/>
              </w:rPr>
            </w:pPr>
          </w:p>
        </w:tc>
        <w:tc>
          <w:tcPr>
            <w:tcW w:w="709" w:type="dxa"/>
          </w:tcPr>
          <w:p w:rsidR="003073A4" w:rsidRPr="000E6639" w:rsidRDefault="000545DD">
            <w:pPr>
              <w:rPr>
                <w:rFonts w:asciiTheme="majorHAnsi" w:hAnsiTheme="majorHAnsi" w:cstheme="majorHAnsi"/>
              </w:rPr>
            </w:pPr>
            <w:r w:rsidRPr="000E6639">
              <w:rPr>
                <w:rFonts w:asciiTheme="majorHAnsi" w:hAnsiTheme="majorHAnsi" w:cstheme="majorHAnsi"/>
              </w:rPr>
              <w:t>30</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11 – Controle acionário da CDC …………………………………………………………...................</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35</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12 – Evolução do indicador EBITDA ajustado da CDC - 2021-2025..........................</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44</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13 – Demonstrações de Resultado CDC 2021 a 2025 ……….......................................</w:t>
            </w:r>
          </w:p>
        </w:tc>
        <w:tc>
          <w:tcPr>
            <w:tcW w:w="709" w:type="dxa"/>
          </w:tcPr>
          <w:p w:rsidR="003073A4" w:rsidRPr="000E6639" w:rsidRDefault="00863BFB">
            <w:pPr>
              <w:rPr>
                <w:rFonts w:asciiTheme="majorHAnsi" w:hAnsiTheme="majorHAnsi" w:cstheme="majorHAnsi"/>
              </w:rPr>
            </w:pPr>
            <w:r>
              <w:rPr>
                <w:rFonts w:asciiTheme="majorHAnsi" w:hAnsiTheme="majorHAnsi" w:cstheme="majorHAnsi"/>
              </w:rPr>
              <w:t>45</w:t>
            </w:r>
          </w:p>
          <w:p w:rsidR="003073A4" w:rsidRPr="000E6639" w:rsidRDefault="003073A4">
            <w:pPr>
              <w:rPr>
                <w:rFonts w:asciiTheme="majorHAnsi" w:hAnsiTheme="majorHAnsi" w:cstheme="majorHAnsi"/>
              </w:rPr>
            </w:pP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14 – Comportamento das despesas 2025 x 2024....................................................</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46</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15 – Balanço Patrimonial Resumido 2025 x 2024.....................................................</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46</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16 – Indicadores econômico-financeiros 2025 x 2024.............................................</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47</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 xml:space="preserve">Tabela 17 – Remuneração dos Administradores e </w:t>
            </w:r>
            <w:r w:rsidR="00863BFB">
              <w:rPr>
                <w:rFonts w:asciiTheme="majorHAnsi" w:hAnsiTheme="majorHAnsi" w:cstheme="majorHAnsi"/>
              </w:rPr>
              <w:t xml:space="preserve">membros do </w:t>
            </w:r>
            <w:r w:rsidRPr="000E6639">
              <w:rPr>
                <w:rFonts w:asciiTheme="majorHAnsi" w:hAnsiTheme="majorHAnsi" w:cstheme="majorHAnsi"/>
              </w:rPr>
              <w:t>Conselh</w:t>
            </w:r>
            <w:r w:rsidR="00863BFB">
              <w:rPr>
                <w:rFonts w:asciiTheme="majorHAnsi" w:hAnsiTheme="majorHAnsi" w:cstheme="majorHAnsi"/>
              </w:rPr>
              <w:t>o</w:t>
            </w:r>
            <w:r w:rsidRPr="000E6639">
              <w:rPr>
                <w:rFonts w:asciiTheme="majorHAnsi" w:hAnsiTheme="majorHAnsi" w:cstheme="majorHAnsi"/>
              </w:rPr>
              <w:t xml:space="preserve"> Fisca</w:t>
            </w:r>
            <w:r w:rsidR="00863BFB">
              <w:rPr>
                <w:rFonts w:asciiTheme="majorHAnsi" w:hAnsiTheme="majorHAnsi" w:cstheme="majorHAnsi"/>
              </w:rPr>
              <w:t>l e do Comitê de Auditoria ..............................................................................................</w:t>
            </w:r>
            <w:r w:rsidRPr="000E6639">
              <w:rPr>
                <w:rFonts w:asciiTheme="majorHAnsi" w:hAnsiTheme="majorHAnsi" w:cstheme="majorHAnsi"/>
              </w:rPr>
              <w:t>.............................</w:t>
            </w:r>
          </w:p>
          <w:p w:rsidR="003073A4" w:rsidRPr="000E6639" w:rsidRDefault="003073A4">
            <w:pPr>
              <w:rPr>
                <w:rFonts w:asciiTheme="majorHAnsi"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50</w:t>
            </w:r>
          </w:p>
        </w:tc>
      </w:tr>
      <w:tr w:rsidR="003073A4" w:rsidRPr="000E6639" w:rsidTr="000E6639">
        <w:tc>
          <w:tcPr>
            <w:tcW w:w="8222" w:type="dxa"/>
          </w:tcPr>
          <w:p w:rsidR="003073A4" w:rsidRPr="000E6639" w:rsidRDefault="000545DD">
            <w:pPr>
              <w:rPr>
                <w:rFonts w:asciiTheme="majorHAnsi" w:hAnsiTheme="majorHAnsi" w:cstheme="majorHAnsi"/>
              </w:rPr>
            </w:pPr>
            <w:r w:rsidRPr="000E6639">
              <w:rPr>
                <w:rFonts w:asciiTheme="majorHAnsi" w:hAnsiTheme="majorHAnsi" w:cstheme="majorHAnsi"/>
              </w:rPr>
              <w:t>Tabela 18 – Indicadores e metas do programa de Remuneração Variável de 2025 da CDC.</w:t>
            </w:r>
          </w:p>
          <w:p w:rsidR="003073A4" w:rsidRPr="000E6639" w:rsidRDefault="003073A4">
            <w:pPr>
              <w:rPr>
                <w:rFonts w:asciiTheme="majorHAnsi" w:eastAsia="AppleSystemUIFont" w:hAnsiTheme="majorHAnsi" w:cstheme="majorHAnsi"/>
              </w:rPr>
            </w:pPr>
          </w:p>
        </w:tc>
        <w:tc>
          <w:tcPr>
            <w:tcW w:w="709" w:type="dxa"/>
          </w:tcPr>
          <w:p w:rsidR="003073A4" w:rsidRPr="000E6639" w:rsidRDefault="00863BFB">
            <w:pPr>
              <w:rPr>
                <w:rFonts w:asciiTheme="majorHAnsi" w:hAnsiTheme="majorHAnsi" w:cstheme="majorHAnsi"/>
              </w:rPr>
            </w:pPr>
            <w:r>
              <w:rPr>
                <w:rFonts w:asciiTheme="majorHAnsi" w:hAnsiTheme="majorHAnsi" w:cstheme="majorHAnsi"/>
              </w:rPr>
              <w:t>51</w:t>
            </w:r>
          </w:p>
        </w:tc>
      </w:tr>
    </w:tbl>
    <w:p w:rsidR="003073A4" w:rsidRPr="000E6639" w:rsidRDefault="003073A4">
      <w:pPr>
        <w:widowControl/>
        <w:jc w:val="both"/>
        <w:rPr>
          <w:rFonts w:asciiTheme="majorHAnsi" w:hAnsiTheme="majorHAnsi" w:cstheme="majorHAnsi"/>
        </w:rPr>
      </w:pPr>
    </w:p>
    <w:p w:rsidR="003073A4" w:rsidRPr="000E6639" w:rsidRDefault="003073A4">
      <w:pPr>
        <w:widowControl/>
        <w:rPr>
          <w:rFonts w:asciiTheme="majorHAnsi" w:hAnsiTheme="majorHAnsi" w:cstheme="majorHAnsi"/>
        </w:rPr>
      </w:pPr>
    </w:p>
    <w:p w:rsidR="003073A4" w:rsidRPr="000E6639" w:rsidRDefault="003073A4">
      <w:pPr>
        <w:widowControl/>
        <w:rPr>
          <w:rFonts w:asciiTheme="majorHAnsi" w:hAnsiTheme="majorHAnsi" w:cstheme="majorHAnsi"/>
        </w:rPr>
      </w:pPr>
    </w:p>
    <w:p w:rsidR="003073A4" w:rsidRDefault="003073A4">
      <w:pPr>
        <w:widowControl/>
        <w:jc w:val="both"/>
      </w:pPr>
    </w:p>
    <w:p w:rsidR="003073A4" w:rsidRDefault="003073A4">
      <w:pPr>
        <w:widowControl/>
        <w:jc w:val="both"/>
      </w:pPr>
    </w:p>
    <w:p w:rsidR="003073A4" w:rsidRDefault="003073A4">
      <w:pPr>
        <w:widowControl/>
        <w:jc w:val="both"/>
      </w:pPr>
    </w:p>
    <w:p w:rsidR="003073A4" w:rsidRDefault="003073A4">
      <w:pPr>
        <w:widowControl/>
        <w:jc w:val="both"/>
      </w:pPr>
      <w:bookmarkStart w:id="1" w:name="_heading=h.31rhueyq0frs" w:colFirst="0" w:colLast="0"/>
      <w:bookmarkEnd w:id="1"/>
    </w:p>
    <w:p w:rsidR="003073A4" w:rsidRDefault="003073A4">
      <w:pPr>
        <w:widowControl/>
        <w:jc w:val="both"/>
      </w:pPr>
    </w:p>
    <w:p w:rsidR="003073A4" w:rsidRDefault="003073A4">
      <w:pPr>
        <w:widowControl/>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lastRenderedPageBreak/>
        <w:t>Em atenção ao disposto no art. 8º, incisos I e VIII, da Lei nº 13.303, de 30 de junho de 2016, o Conselho de Administração subscreve a presente Carta Anual de Políticas Públicas e Governança Corporativa referente ao exercício social de 2025</w:t>
      </w:r>
      <w:r>
        <w:rPr>
          <w:b/>
          <w:bCs/>
          <w:color w:val="000000"/>
        </w:rPr>
        <w:t>.</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numPr>
          <w:ilvl w:val="0"/>
          <w:numId w:val="11"/>
        </w:numPr>
        <w:pBdr>
          <w:top w:val="nil"/>
          <w:left w:val="nil"/>
          <w:bottom w:val="nil"/>
          <w:right w:val="nil"/>
          <w:between w:val="nil"/>
        </w:pBdr>
        <w:spacing w:before="120" w:after="120" w:line="360" w:lineRule="auto"/>
        <w:jc w:val="both"/>
        <w:rPr>
          <w:b/>
          <w:bCs/>
          <w:color w:val="000000"/>
          <w:sz w:val="32"/>
          <w:szCs w:val="32"/>
        </w:rPr>
      </w:pPr>
      <w:bookmarkStart w:id="2" w:name="_heading=h.rsfam9qwd02s" w:colFirst="0" w:colLast="0"/>
      <w:bookmarkEnd w:id="2"/>
      <w:r>
        <w:rPr>
          <w:b/>
          <w:bCs/>
          <w:color w:val="000000"/>
          <w:sz w:val="32"/>
          <w:szCs w:val="32"/>
        </w:rPr>
        <w:t>IDENTIFICAÇÃO GERAL</w:t>
      </w:r>
    </w:p>
    <w:p w:rsidR="003073A4" w:rsidRDefault="000545DD">
      <w:pPr>
        <w:pBdr>
          <w:top w:val="nil"/>
          <w:left w:val="nil"/>
          <w:bottom w:val="nil"/>
          <w:right w:val="nil"/>
          <w:between w:val="nil"/>
        </w:pBdr>
        <w:spacing w:before="120" w:after="120" w:line="360" w:lineRule="auto"/>
        <w:ind w:right="195"/>
        <w:jc w:val="both"/>
        <w:rPr>
          <w:color w:val="000000"/>
        </w:rPr>
      </w:pPr>
      <w:r>
        <w:rPr>
          <w:b/>
          <w:bCs/>
          <w:color w:val="000000"/>
        </w:rPr>
        <w:t xml:space="preserve">CNPJ: </w:t>
      </w:r>
      <w:r>
        <w:rPr>
          <w:color w:val="000000"/>
        </w:rPr>
        <w:t>07.223.670/0001-16. NIRE: 23300003144</w:t>
      </w:r>
    </w:p>
    <w:p w:rsidR="003073A4" w:rsidRDefault="000545DD">
      <w:pPr>
        <w:pBdr>
          <w:top w:val="nil"/>
          <w:left w:val="nil"/>
          <w:bottom w:val="nil"/>
          <w:right w:val="nil"/>
          <w:between w:val="nil"/>
        </w:pBdr>
        <w:spacing w:before="120" w:after="120" w:line="360" w:lineRule="auto"/>
        <w:ind w:right="195"/>
        <w:jc w:val="both"/>
        <w:rPr>
          <w:color w:val="000000"/>
        </w:rPr>
      </w:pPr>
      <w:r>
        <w:rPr>
          <w:b/>
          <w:bCs/>
          <w:color w:val="000000"/>
        </w:rPr>
        <w:t xml:space="preserve">Sede: </w:t>
      </w:r>
      <w:r>
        <w:rPr>
          <w:color w:val="000000"/>
        </w:rPr>
        <w:t>Praça Amigos da Marinha, S/N – Mucuripe – Fortaleza/Ceará</w:t>
      </w:r>
    </w:p>
    <w:p w:rsidR="003073A4" w:rsidRDefault="000545DD">
      <w:pPr>
        <w:spacing w:before="180"/>
      </w:pPr>
      <w:r>
        <w:rPr>
          <w:b/>
          <w:bCs/>
        </w:rPr>
        <w:t xml:space="preserve">Tipo de estatal: </w:t>
      </w:r>
      <w:r>
        <w:t>Empresa Pública</w:t>
      </w:r>
    </w:p>
    <w:p w:rsidR="003073A4" w:rsidRDefault="000545DD">
      <w:pPr>
        <w:spacing w:before="180"/>
        <w:rPr>
          <w:b/>
          <w:bCs/>
        </w:rPr>
      </w:pPr>
      <w:r>
        <w:rPr>
          <w:b/>
          <w:bCs/>
        </w:rPr>
        <w:t xml:space="preserve">Acionista controlador: </w:t>
      </w:r>
      <w:r>
        <w:t>União</w:t>
      </w:r>
    </w:p>
    <w:p w:rsidR="003073A4" w:rsidRDefault="000545DD">
      <w:pPr>
        <w:spacing w:before="180"/>
      </w:pPr>
      <w:r>
        <w:rPr>
          <w:b/>
          <w:bCs/>
        </w:rPr>
        <w:t xml:space="preserve">Tipo societário: </w:t>
      </w:r>
      <w:r>
        <w:t>Sociedade Anônima</w:t>
      </w:r>
    </w:p>
    <w:p w:rsidR="003073A4" w:rsidRDefault="000545DD">
      <w:pPr>
        <w:spacing w:before="180"/>
      </w:pPr>
      <w:r>
        <w:rPr>
          <w:b/>
          <w:bCs/>
        </w:rPr>
        <w:t xml:space="preserve">Tipo de capital: </w:t>
      </w:r>
      <w:r>
        <w:t>Fechado</w:t>
      </w:r>
    </w:p>
    <w:p w:rsidR="003073A4" w:rsidRDefault="000545DD">
      <w:pPr>
        <w:spacing w:before="180"/>
      </w:pPr>
      <w:r>
        <w:rPr>
          <w:b/>
          <w:bCs/>
        </w:rPr>
        <w:t xml:space="preserve">Abrangência de atuação: </w:t>
      </w:r>
      <w:r>
        <w:t>Estado do Ceará</w:t>
      </w:r>
    </w:p>
    <w:p w:rsidR="003073A4" w:rsidRDefault="000545DD">
      <w:pPr>
        <w:pBdr>
          <w:top w:val="nil"/>
          <w:left w:val="nil"/>
          <w:bottom w:val="nil"/>
          <w:right w:val="nil"/>
          <w:between w:val="nil"/>
        </w:pBdr>
        <w:spacing w:before="120" w:after="120" w:line="360" w:lineRule="auto"/>
        <w:ind w:right="195"/>
        <w:jc w:val="both"/>
        <w:rPr>
          <w:color w:val="000000"/>
        </w:rPr>
      </w:pPr>
      <w:r>
        <w:rPr>
          <w:b/>
          <w:bCs/>
          <w:color w:val="000000"/>
        </w:rPr>
        <w:t xml:space="preserve">Setor de atuação: </w:t>
      </w:r>
      <w:r>
        <w:rPr>
          <w:color w:val="000000"/>
        </w:rPr>
        <w:t>Infraestrutura;</w:t>
      </w:r>
      <w:r>
        <w:rPr>
          <w:b/>
          <w:bCs/>
          <w:color w:val="000000"/>
        </w:rPr>
        <w:t xml:space="preserve"> </w:t>
      </w:r>
      <w:r>
        <w:rPr>
          <w:color w:val="000000"/>
        </w:rPr>
        <w:t>administração e exploração comercial do Porto de Fortaleza, atuando como  Autoridade Portuária.</w:t>
      </w:r>
    </w:p>
    <w:p w:rsidR="003073A4" w:rsidRDefault="003073A4">
      <w:pPr>
        <w:spacing w:before="180"/>
        <w:ind w:left="222"/>
        <w:rPr>
          <w:b/>
          <w:bCs/>
        </w:rPr>
      </w:pPr>
    </w:p>
    <w:p w:rsidR="003073A4" w:rsidRDefault="000545DD">
      <w:pPr>
        <w:spacing w:before="180"/>
        <w:rPr>
          <w:b/>
          <w:bCs/>
        </w:rPr>
      </w:pPr>
      <w:r>
        <w:rPr>
          <w:b/>
          <w:bCs/>
        </w:rPr>
        <w:t>Diretor Financeiro:</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Ivo Novais Dias Montenegro</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Telefone: (85) 3266-8850</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E-mail: </w:t>
      </w:r>
      <w:hyperlink r:id="rId12">
        <w:r>
          <w:rPr>
            <w:color w:val="000000"/>
            <w:u w:val="single"/>
          </w:rPr>
          <w:t>ivo.montenegro@docasdoceara.com.br</w:t>
        </w:r>
      </w:hyperlink>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spacing w:before="180"/>
        <w:rPr>
          <w:b/>
          <w:bCs/>
        </w:rPr>
      </w:pPr>
      <w:r>
        <w:rPr>
          <w:b/>
          <w:bCs/>
        </w:rPr>
        <w:t>Auditores Independentes atuais da empresa:</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Empresa: AUDIPLAC – Auditoria e Assessoria Contábil S/S</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Representantes: José Teixeira de Souza Filho/ Rafael Miranda de Figueiredo  Telefone: (85) 3261-2972/3244-7154</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E-mail: diretoria@audiplacauditoria.com.br/ </w:t>
      </w:r>
      <w:hyperlink r:id="rId13">
        <w:r>
          <w:rPr>
            <w:color w:val="000000"/>
            <w:u w:val="single"/>
          </w:rPr>
          <w:t>auditoria@audiplacauditoria.com.br</w:t>
        </w:r>
      </w:hyperlink>
    </w:p>
    <w:p w:rsidR="003073A4" w:rsidRDefault="003073A4">
      <w:pPr>
        <w:spacing w:before="182"/>
        <w:ind w:left="222"/>
        <w:rPr>
          <w:b/>
          <w:bCs/>
        </w:rPr>
      </w:pPr>
    </w:p>
    <w:p w:rsidR="003073A4" w:rsidRDefault="003073A4">
      <w:pPr>
        <w:spacing w:before="182"/>
        <w:ind w:left="222"/>
        <w:rPr>
          <w:b/>
          <w:bCs/>
          <w:color w:val="FF0000"/>
        </w:rPr>
      </w:pPr>
    </w:p>
    <w:p w:rsidR="003073A4" w:rsidRDefault="003073A4">
      <w:pPr>
        <w:spacing w:before="182"/>
        <w:ind w:left="222"/>
        <w:rPr>
          <w:b/>
          <w:bCs/>
          <w:color w:val="FF0000"/>
        </w:rPr>
      </w:pPr>
    </w:p>
    <w:p w:rsidR="003073A4" w:rsidRDefault="003073A4">
      <w:pPr>
        <w:spacing w:before="182"/>
        <w:ind w:left="222"/>
        <w:rPr>
          <w:b/>
          <w:bCs/>
          <w:color w:val="FF0000"/>
        </w:rPr>
      </w:pPr>
    </w:p>
    <w:p w:rsidR="003073A4" w:rsidRDefault="000545DD">
      <w:pPr>
        <w:spacing w:before="182"/>
        <w:rPr>
          <w:b/>
          <w:bCs/>
        </w:rPr>
      </w:pPr>
      <w:r>
        <w:rPr>
          <w:b/>
          <w:bCs/>
        </w:rPr>
        <w:lastRenderedPageBreak/>
        <w:t>Conselheiros de Administração subscritores da Carta Anual de Governança Corporativa:</w:t>
      </w:r>
    </w:p>
    <w:p w:rsidR="003073A4" w:rsidRDefault="003073A4">
      <w:pPr>
        <w:pBdr>
          <w:top w:val="nil"/>
          <w:left w:val="nil"/>
          <w:bottom w:val="nil"/>
          <w:right w:val="nil"/>
          <w:between w:val="nil"/>
        </w:pBdr>
        <w:spacing w:before="120" w:after="120" w:line="360" w:lineRule="auto"/>
        <w:ind w:right="195"/>
        <w:jc w:val="both"/>
        <w:rPr>
          <w:color w:val="FF0000"/>
        </w:rPr>
        <w:sectPr w:rsidR="003073A4">
          <w:pgSz w:w="11910" w:h="16840"/>
          <w:pgMar w:top="1220" w:right="1500" w:bottom="1200" w:left="1480" w:header="0" w:footer="920" w:gutter="0"/>
          <w:cols w:space="720"/>
        </w:sectPr>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lastRenderedPageBreak/>
        <w:t>Eliana Nascimento de Oliveira</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CPF: xxx.312.476-xx</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Carlos Murilo de Azevedo Pires</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CPF: xxx.979.451-xx</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Marlos Costa de Andrade</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lastRenderedPageBreak/>
        <w:t>CPF: xxx.648.983-xx</w:t>
      </w:r>
      <w:r>
        <w:rPr>
          <w:color w:val="000000"/>
        </w:rPr>
        <w:tab/>
      </w:r>
      <w:r>
        <w:rPr>
          <w:color w:val="000000"/>
        </w:rPr>
        <w:tab/>
      </w:r>
      <w:r>
        <w:rPr>
          <w:color w:val="000000"/>
        </w:rPr>
        <w:tab/>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Bruno Iughetti</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CPF: xxx.690.518-xx</w:t>
      </w:r>
    </w:p>
    <w:p w:rsidR="003073A4" w:rsidRDefault="003073A4">
      <w:pPr>
        <w:pBdr>
          <w:top w:val="nil"/>
          <w:left w:val="nil"/>
          <w:bottom w:val="nil"/>
          <w:right w:val="nil"/>
          <w:between w:val="nil"/>
        </w:pBdr>
        <w:spacing w:before="120" w:after="120" w:line="360" w:lineRule="auto"/>
        <w:ind w:right="195"/>
        <w:jc w:val="both"/>
        <w:rPr>
          <w:color w:val="000000"/>
        </w:rPr>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Janira Tripodi Borja</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CPF: xxx.829.705-xx</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3073A4">
      <w:pPr>
        <w:pBdr>
          <w:top w:val="nil"/>
          <w:left w:val="nil"/>
          <w:bottom w:val="nil"/>
          <w:right w:val="nil"/>
          <w:between w:val="nil"/>
        </w:pBdr>
        <w:spacing w:before="120" w:after="120" w:line="360" w:lineRule="auto"/>
        <w:ind w:right="195"/>
        <w:jc w:val="both"/>
        <w:rPr>
          <w:color w:val="FF0000"/>
        </w:rPr>
        <w:sectPr w:rsidR="003073A4">
          <w:type w:val="continuous"/>
          <w:pgSz w:w="11910" w:h="16840"/>
          <w:pgMar w:top="1220" w:right="1500" w:bottom="1200" w:left="1480" w:header="0" w:footer="920" w:gutter="0"/>
          <w:cols w:num="2" w:space="720" w:equalWidth="0">
            <w:col w:w="4105" w:space="720"/>
            <w:col w:w="4105" w:space="0"/>
          </w:cols>
        </w:sectPr>
      </w:pP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pBdr>
          <w:top w:val="nil"/>
          <w:left w:val="nil"/>
          <w:bottom w:val="nil"/>
          <w:right w:val="nil"/>
          <w:between w:val="nil"/>
        </w:pBdr>
        <w:spacing w:before="120" w:after="120" w:line="360" w:lineRule="auto"/>
        <w:ind w:right="195"/>
        <w:jc w:val="right"/>
        <w:rPr>
          <w:color w:val="000000"/>
        </w:rPr>
      </w:pPr>
      <w:r>
        <w:rPr>
          <w:color w:val="000000"/>
        </w:rPr>
        <w:t>Data de divulgação: Maio/2026</w:t>
      </w:r>
    </w:p>
    <w:p w:rsidR="003073A4" w:rsidRDefault="003073A4">
      <w:pPr>
        <w:jc w:val="right"/>
        <w:rPr>
          <w:color w:val="FF0000"/>
        </w:rPr>
        <w:sectPr w:rsidR="003073A4">
          <w:type w:val="continuous"/>
          <w:pgSz w:w="11910" w:h="16840"/>
          <w:pgMar w:top="1220" w:right="1500" w:bottom="1200" w:left="1480" w:header="0" w:footer="920" w:gutter="0"/>
          <w:cols w:space="720"/>
        </w:sectPr>
      </w:pPr>
    </w:p>
    <w:p w:rsidR="003073A4" w:rsidRDefault="000545DD">
      <w:pPr>
        <w:numPr>
          <w:ilvl w:val="0"/>
          <w:numId w:val="11"/>
        </w:numPr>
        <w:pBdr>
          <w:top w:val="nil"/>
          <w:left w:val="nil"/>
          <w:bottom w:val="nil"/>
          <w:right w:val="nil"/>
          <w:between w:val="nil"/>
        </w:pBdr>
        <w:spacing w:before="120" w:after="120" w:line="360" w:lineRule="auto"/>
        <w:jc w:val="both"/>
        <w:rPr>
          <w:b/>
          <w:bCs/>
          <w:color w:val="000000"/>
          <w:sz w:val="32"/>
          <w:szCs w:val="32"/>
        </w:rPr>
      </w:pPr>
      <w:r>
        <w:rPr>
          <w:b/>
          <w:bCs/>
          <w:color w:val="000000"/>
          <w:sz w:val="32"/>
          <w:szCs w:val="32"/>
        </w:rPr>
        <w:lastRenderedPageBreak/>
        <w:t>POLÍTICAS PÚBLICAS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Em conformidade com a Lei nº 13.303/2016, nos termos do seu art. 8º, incisos I, III e VIII, a presente carta corporativa tem por finalidade explicitar os compromissos de consecução de objetivos de políticas públicas pela estatal, em atendimento ao interesse coletivo que justificou a sua criação, com definição clara dos recursos empregados para esse fim, bem como dos impactos econômico-financeiros da consecução desses objetivos e da divulgação de informações relevantes. </w:t>
      </w:r>
    </w:p>
    <w:p w:rsidR="003073A4" w:rsidRDefault="000545DD">
      <w:pPr>
        <w:pBdr>
          <w:top w:val="nil"/>
          <w:left w:val="nil"/>
          <w:bottom w:val="nil"/>
          <w:right w:val="nil"/>
          <w:between w:val="nil"/>
        </w:pBdr>
        <w:spacing w:before="120" w:after="120" w:line="360" w:lineRule="auto"/>
        <w:jc w:val="both"/>
        <w:rPr>
          <w:color w:val="000000"/>
        </w:rPr>
      </w:pPr>
      <w:r>
        <w:rPr>
          <w:color w:val="000000"/>
        </w:rPr>
        <w:t>A Companhia Docas do Ceará (CDC), guiada pelas diretrizes governamentais federais, prezando pela boa governança e transparência e respeitando as melhores práticas de gestão, apresenta o relato das ações executadas, metas alcançadas, resultados econômico-financeiros, entre outras informações pertinentes, que representam a melhoria da gestão da empresa em 2025.</w:t>
      </w:r>
    </w:p>
    <w:p w:rsidR="003073A4" w:rsidRDefault="000545DD">
      <w:pPr>
        <w:pBdr>
          <w:top w:val="nil"/>
          <w:left w:val="nil"/>
          <w:bottom w:val="nil"/>
          <w:right w:val="nil"/>
          <w:between w:val="nil"/>
        </w:pBdr>
        <w:spacing w:before="120" w:after="120" w:line="360" w:lineRule="auto"/>
        <w:jc w:val="both"/>
        <w:rPr>
          <w:color w:val="000000"/>
        </w:rPr>
      </w:pPr>
      <w:r>
        <w:rPr>
          <w:color w:val="000000"/>
        </w:rPr>
        <w:t>Como avanços do período, destacam-se os resultados econômico-financeiros, que fortalecem a busca da sustentabilidade financeira da empresa, a atração de novas cargas, como a exportação de frutas como carga geral e a importação de elementos para parques eólicos e a melhoria geral da gestão da companhia.</w:t>
      </w:r>
    </w:p>
    <w:p w:rsidR="003073A4" w:rsidRDefault="003073A4">
      <w:pPr>
        <w:pBdr>
          <w:top w:val="nil"/>
          <w:left w:val="nil"/>
          <w:bottom w:val="nil"/>
          <w:right w:val="nil"/>
          <w:between w:val="nil"/>
        </w:pBdr>
        <w:spacing w:before="120" w:after="120" w:line="360" w:lineRule="auto"/>
        <w:jc w:val="both"/>
        <w:rPr>
          <w:color w:val="FF0000"/>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Interesse público subjacente às atividades empresariais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Companhia Docas do Ceará (CDC) tem por objeto exercer as funções de autoridade portuária, no âmbito dos portos organizados no Estado do Ceará, sob sua administração e responsabilidade, em consonância com as políticas públicas setoriais. Devido ao relevante interesse coletivo envolvido na referida atividade, é considerada, assim, uma empresa prestadora de serviços públicos. </w:t>
      </w:r>
    </w:p>
    <w:p w:rsidR="003073A4" w:rsidRDefault="000545DD">
      <w:pPr>
        <w:pBdr>
          <w:top w:val="nil"/>
          <w:left w:val="nil"/>
          <w:bottom w:val="nil"/>
          <w:right w:val="nil"/>
          <w:between w:val="nil"/>
        </w:pBdr>
        <w:spacing w:before="120" w:after="120" w:line="360" w:lineRule="auto"/>
        <w:jc w:val="both"/>
        <w:rPr>
          <w:color w:val="000000"/>
        </w:rPr>
      </w:pPr>
      <w:r>
        <w:rPr>
          <w:color w:val="000000"/>
        </w:rPr>
        <w:t>A Companhia Docas do Ceará é uma empresa pública, revestida sob a forma de sociedade por ações, de capital fechado, vinculada ao Ministério de Portos e Aeroportos (MPOR), e tem por missão desenvolver e administrar o Porto de Fortaleza, oferecendo serviços e infraestrutura eficientes, sendo indutor do comércio e do desenvolvimento econômico, com responsabilidade socioambiental.</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Abaixo, segue o histórico normativo de criação da Companhia: </w:t>
      </w:r>
    </w:p>
    <w:p w:rsidR="003073A4" w:rsidRDefault="000545DD">
      <w:pPr>
        <w:numPr>
          <w:ilvl w:val="0"/>
          <w:numId w:val="1"/>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Em 20 de dezembro de 1933, por meio do Decreto nº 23.606, foi outorgada ao Governo do Estado do Ceará a concessão para construção, aparelhamento e exploração do Porto de Fortaleza, pelo prazo de 60 anos;</w:t>
      </w:r>
    </w:p>
    <w:p w:rsidR="003073A4" w:rsidRDefault="000545DD">
      <w:pPr>
        <w:numPr>
          <w:ilvl w:val="0"/>
          <w:numId w:val="2"/>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A Companhia Docas do Ceará é constituída por meio da Resolução CNPVN nº 182.1, de 25/03/1965, nos termos da Lei nº 4.213, de 14/02/1963, e do Decreto nº 54.046, de 23/07/1964, na forma de sociedade de economia mista, de capital autorizado, com a finalidade de explorar, industrial e comercialmente, os portos do Estado do Ceará;</w:t>
      </w:r>
    </w:p>
    <w:p w:rsidR="003073A4" w:rsidRDefault="000545DD">
      <w:pPr>
        <w:numPr>
          <w:ilvl w:val="0"/>
          <w:numId w:val="2"/>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 xml:space="preserve">A Lei nº 6.222, de 10 de julho de 1975, de criação da Empresa de Portos do Brasil S/A – PORTOBRÁS, empresa </w:t>
      </w:r>
      <w:r>
        <w:rPr>
          <w:i/>
          <w:iCs/>
          <w:color w:val="000000"/>
          <w:sz w:val="18"/>
          <w:szCs w:val="18"/>
        </w:rPr>
        <w:lastRenderedPageBreak/>
        <w:t>pública que tinha por atribuição coordenar todo o sistema portuário brasileiro, transforma a Companhia Docas do Ceará em subsidiária da PORTOBRÁS, passando a ser regida pela Lei 6.404, de 15 de dezembro de 1976;</w:t>
      </w:r>
    </w:p>
    <w:p w:rsidR="003073A4" w:rsidRDefault="000545DD">
      <w:pPr>
        <w:numPr>
          <w:ilvl w:val="0"/>
          <w:numId w:val="2"/>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Com a extinção da PORTOBRÁS, em 1990, a Companhia passa a ter vínculo direto com o Ministério da Infraestrutura, pasta criada para englobar os ministérios dos Transportes e Comunicação, que, em 1995, voltaram à situação anterior, retornando a área de transportes para a esfera de competência do Ministério dos Transportes, assim como o vínculo da CDC;</w:t>
      </w:r>
    </w:p>
    <w:p w:rsidR="003073A4" w:rsidRDefault="000545DD">
      <w:pPr>
        <w:numPr>
          <w:ilvl w:val="0"/>
          <w:numId w:val="2"/>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Como as demais empresas estatais, a Companhia é regida pela Lei 13.303, de 30 de junho de 2016, pelo Decreto nº 8.945, de 27 de dezembro de 2016, pela Lei nº 6.404, de 15 de dezembro de 1976 e pelas demais legislações aplicáveis e, como autoridade portuária, rege-se pela Lei nº 12.815, de 05 de junho de 2013, Decreto nº 8.033, de 27 de junho de 2013;</w:t>
      </w:r>
    </w:p>
    <w:p w:rsidR="003073A4" w:rsidRDefault="000545DD">
      <w:pPr>
        <w:numPr>
          <w:ilvl w:val="0"/>
          <w:numId w:val="2"/>
        </w:numPr>
        <w:pBdr>
          <w:top w:val="nil"/>
          <w:left w:val="nil"/>
          <w:bottom w:val="nil"/>
          <w:right w:val="nil"/>
          <w:between w:val="nil"/>
        </w:pBdr>
        <w:spacing w:line="360" w:lineRule="auto"/>
        <w:ind w:right="193"/>
        <w:jc w:val="both"/>
        <w:rPr>
          <w:i/>
          <w:iCs/>
          <w:color w:val="000000"/>
          <w:sz w:val="18"/>
          <w:szCs w:val="18"/>
        </w:rPr>
      </w:pPr>
      <w:r>
        <w:rPr>
          <w:i/>
          <w:iCs/>
          <w:color w:val="000000"/>
          <w:sz w:val="18"/>
          <w:szCs w:val="18"/>
        </w:rPr>
        <w:t xml:space="preserve"> Em 2018, a CDC teve substituída sua natureza jurídica de sociedade de economia mista para empresa pública, nos termos do art. 91 da Lei 13.303, de 30 de junho de 2016.</w:t>
      </w:r>
    </w:p>
    <w:p w:rsidR="003073A4" w:rsidRDefault="003073A4">
      <w:pPr>
        <w:pBdr>
          <w:top w:val="nil"/>
          <w:left w:val="nil"/>
          <w:bottom w:val="nil"/>
          <w:right w:val="nil"/>
          <w:between w:val="nil"/>
        </w:pBdr>
        <w:spacing w:line="360" w:lineRule="auto"/>
        <w:ind w:left="942" w:right="193" w:hanging="357"/>
        <w:jc w:val="both"/>
        <w:rPr>
          <w:i/>
          <w:iCs/>
          <w:color w:val="FF0000"/>
          <w:sz w:val="18"/>
          <w:szCs w:val="18"/>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Atendimento às políticas públicas</w:t>
      </w:r>
    </w:p>
    <w:p w:rsidR="003073A4" w:rsidRDefault="000545DD">
      <w:pPr>
        <w:pBdr>
          <w:top w:val="nil"/>
          <w:left w:val="nil"/>
          <w:bottom w:val="nil"/>
          <w:right w:val="nil"/>
          <w:between w:val="nil"/>
        </w:pBdr>
        <w:spacing w:before="120" w:after="120" w:line="360" w:lineRule="auto"/>
        <w:jc w:val="both"/>
        <w:rPr>
          <w:color w:val="000000"/>
        </w:rPr>
      </w:pPr>
      <w:r>
        <w:rPr>
          <w:color w:val="000000"/>
        </w:rPr>
        <w:t>A Companhia Docas do Ceará (CDC) tem suas atividades empresariais focadas no setor portuário, especificamente no Porto de Fortaleza, administrando-o e exercendo o papel institucional de Autoridade Portuária, nos termos que dispõe a Lei nº 12.815/13, marco regulatório dos portos, notadamente quanto ao que dispõe o art. 17, que aduz ser a administração portuária exercida diretamente pela União, pela delegatária ou pela entidade concessionária.</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Os serviços de administração portuária constituem-se em </w:t>
      </w:r>
      <w:r>
        <w:rPr>
          <w:b/>
          <w:bCs/>
          <w:color w:val="000000"/>
        </w:rPr>
        <w:t>monopólio estatal da União</w:t>
      </w:r>
      <w:r>
        <w:rPr>
          <w:color w:val="000000"/>
        </w:rPr>
        <w:t xml:space="preserve">, conforme previsão constitucional (art. 21, XII, “f”), sendo que há a possibilidade de a União outorgar a uma empresa governamental o exercício desse encargo, sem que se perca o atributo de prestação de serviço público.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Dessa forma, em perfeito alinhamento com o interesse público, a CDC atua no desenvolvimento de atividades que visam atender às Políticas Públicas do Setor Portuário e ao seu objeto social, em consonância com os artigos 4º e 5º do Estatuto Social da empresa, sem exclusão de outros casos atribuídos em lei à Administração do Porto Organizado, em especial a Lei nº 12.815, de 5 de junho de 2013, o Decreto nº 9.048, de 10 de maio de 2017 e o Decreto nº 8.033, de 27 de junho de 2013.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As competências da CDC referem-se à: </w:t>
      </w:r>
    </w:p>
    <w:p w:rsidR="003073A4" w:rsidRDefault="000545DD">
      <w:pPr>
        <w:numPr>
          <w:ilvl w:val="0"/>
          <w:numId w:val="1"/>
        </w:numPr>
        <w:pBdr>
          <w:top w:val="nil"/>
          <w:left w:val="nil"/>
          <w:bottom w:val="nil"/>
          <w:right w:val="nil"/>
          <w:between w:val="nil"/>
        </w:pBdr>
        <w:spacing w:line="360" w:lineRule="auto"/>
        <w:jc w:val="both"/>
        <w:rPr>
          <w:color w:val="000000"/>
        </w:rPr>
      </w:pPr>
      <w:r>
        <w:rPr>
          <w:color w:val="000000"/>
        </w:rPr>
        <w:t>Prover infraestrutura:</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Fiscalizar ou executar as obras de construção, reforma, ampliação, melhoramento e conservação das instalações portuárias;</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 xml:space="preserve">Promover a realização de obras e serviços de construção e melhoramento dos portos, de suas infraestruturas de proteção e de acesso aquaviário sob sua </w:t>
      </w:r>
      <w:r>
        <w:rPr>
          <w:color w:val="000000"/>
        </w:rPr>
        <w:lastRenderedPageBreak/>
        <w:t>jurisdição ou responsabilidade;</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Promover a realização de obras e serviços necessários à proteção dos portos ou de seus acessos, sob sua jurisdição ou responsabilidade;</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Promover a remoção de embarcações ou cascos de embarcações que possam prejudicar o acesso ao porto.</w:t>
      </w:r>
    </w:p>
    <w:p w:rsidR="003073A4" w:rsidRDefault="000545DD">
      <w:pPr>
        <w:numPr>
          <w:ilvl w:val="0"/>
          <w:numId w:val="1"/>
        </w:numPr>
        <w:pBdr>
          <w:top w:val="nil"/>
          <w:left w:val="nil"/>
          <w:bottom w:val="nil"/>
          <w:right w:val="nil"/>
          <w:between w:val="nil"/>
        </w:pBdr>
        <w:spacing w:line="360" w:lineRule="auto"/>
        <w:jc w:val="both"/>
        <w:rPr>
          <w:color w:val="000000"/>
        </w:rPr>
      </w:pPr>
      <w:r>
        <w:rPr>
          <w:color w:val="000000"/>
        </w:rPr>
        <w:t>Organizar a atividade portuária:</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Autorizar a entrada e saída, inclusive atracação e desatracação, o fundeio e o tráfego de embarcação na área do porto, ouvidas as demais autoridades do porto;</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 xml:space="preserve">Autorizar a </w:t>
      </w:r>
      <w:bookmarkStart w:id="3" w:name="_GoBack"/>
      <w:r>
        <w:rPr>
          <w:color w:val="000000"/>
        </w:rPr>
        <w:t>movimentação</w:t>
      </w:r>
      <w:bookmarkEnd w:id="3"/>
      <w:r>
        <w:rPr>
          <w:color w:val="000000"/>
        </w:rPr>
        <w:t xml:space="preserve"> de carga das embarcações, ressalvada a competência da autoridade marítima em situações de assistência e salvamento de embarcação, ouvidas as demais autoridades do porto;</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Suspender operações portuárias que prejudiquem o funcionamento do porto, ressalvados os aspectos de interesse da autoridade marítima responsável pela segurança do tráfego aquaviário;</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Estabelecer o regulamento de exploração do porto, observadas as diretrizes da Secretaria Nacional de Portos, do Ministério de Portos e Aeroportos;</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Assegurar o gozo das vantagens decorrentes do melhoramento e aparelhamento do porto ao comércio e à navegação;</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Pré-qualificar os operadores portuários, de acordo com as normas estabelecidas pelo poder concedente.</w:t>
      </w:r>
    </w:p>
    <w:p w:rsidR="003073A4" w:rsidRDefault="000545DD">
      <w:pPr>
        <w:numPr>
          <w:ilvl w:val="0"/>
          <w:numId w:val="1"/>
        </w:numPr>
        <w:pBdr>
          <w:top w:val="nil"/>
          <w:left w:val="nil"/>
          <w:bottom w:val="nil"/>
          <w:right w:val="nil"/>
          <w:between w:val="nil"/>
        </w:pBdr>
        <w:spacing w:line="360" w:lineRule="auto"/>
        <w:jc w:val="both"/>
        <w:rPr>
          <w:color w:val="000000"/>
        </w:rPr>
      </w:pPr>
      <w:r>
        <w:rPr>
          <w:color w:val="000000"/>
        </w:rPr>
        <w:t xml:space="preserve">Fiscalização da atividade portuária: </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Fiscalizar a operação portuária, zelando pela realização das atividades com regularidade, eficiência, segurança e respeito ao meio ambiente;</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Reportar infrações e representar perante a Antaq, visando à instauração de processo administrativo e aplicação das penalidades previstas em lei, em regulamento e nos contratos;</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Fiscalizar as áreas e instalações portuárias arrendadas, dentro dos limites dos portos organizados da CDC.</w:t>
      </w:r>
    </w:p>
    <w:p w:rsidR="003073A4" w:rsidRDefault="000545DD">
      <w:pPr>
        <w:numPr>
          <w:ilvl w:val="0"/>
          <w:numId w:val="1"/>
        </w:numPr>
        <w:pBdr>
          <w:top w:val="nil"/>
          <w:left w:val="nil"/>
          <w:bottom w:val="nil"/>
          <w:right w:val="nil"/>
          <w:between w:val="nil"/>
        </w:pBdr>
        <w:spacing w:line="360" w:lineRule="auto"/>
        <w:ind w:right="193"/>
        <w:jc w:val="both"/>
        <w:rPr>
          <w:color w:val="000000"/>
        </w:rPr>
      </w:pPr>
      <w:r>
        <w:rPr>
          <w:color w:val="000000"/>
        </w:rPr>
        <w:t xml:space="preserve">Planejar a exploração das atividades portuárias: </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Elaborar, revisar e submeter à aprovação do Ministério de Portos e Aeroportos, o Plano de Desenvolvimento e Zoneamento - PDZ dos portos sob sua competência ou cuja administração esteja sob sua responsabilidade;</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 xml:space="preserve">Explorar, direta ou indiretamente, as áreas não afetas às operações portuárias, desde que as destinações estejam previstas no Plano de Desenvolvimento e </w:t>
      </w:r>
      <w:r>
        <w:rPr>
          <w:color w:val="000000"/>
        </w:rPr>
        <w:lastRenderedPageBreak/>
        <w:t xml:space="preserve">Zoneamento do Porto a critério da Secretaria Nacional de Portos, do Ministério de Portos e Aeroportos; </w:t>
      </w:r>
    </w:p>
    <w:p w:rsidR="003073A4" w:rsidRDefault="000545DD">
      <w:pPr>
        <w:numPr>
          <w:ilvl w:val="1"/>
          <w:numId w:val="1"/>
        </w:numPr>
        <w:pBdr>
          <w:top w:val="nil"/>
          <w:left w:val="nil"/>
          <w:bottom w:val="nil"/>
          <w:right w:val="nil"/>
          <w:between w:val="nil"/>
        </w:pBdr>
        <w:spacing w:line="360" w:lineRule="auto"/>
        <w:jc w:val="both"/>
        <w:rPr>
          <w:color w:val="000000"/>
        </w:rPr>
      </w:pPr>
      <w:r>
        <w:rPr>
          <w:color w:val="000000"/>
        </w:rPr>
        <w:t>Elaborar o edital e realizar os procedimentos licitatórios para contratos de concessão e arrendamentos, sempre que determinado pela Secretaria Nacional de Portos, do Ministério de Portos e Aeroportos, nos termos do §5º do art. 6º da Lei nº 12.815/ 2013; e</w:t>
      </w:r>
    </w:p>
    <w:p w:rsidR="003073A4" w:rsidRDefault="000545DD">
      <w:pPr>
        <w:numPr>
          <w:ilvl w:val="1"/>
          <w:numId w:val="1"/>
        </w:numPr>
        <w:pBdr>
          <w:top w:val="nil"/>
          <w:left w:val="nil"/>
          <w:bottom w:val="nil"/>
          <w:right w:val="nil"/>
          <w:between w:val="nil"/>
        </w:pBdr>
        <w:spacing w:line="360" w:lineRule="auto"/>
        <w:ind w:right="193"/>
        <w:jc w:val="both"/>
        <w:rPr>
          <w:color w:val="000000"/>
        </w:rPr>
      </w:pPr>
      <w:r>
        <w:rPr>
          <w:color w:val="000000"/>
        </w:rPr>
        <w:t>Arrecadar os valores das tarifas relativas às suas atividades.</w:t>
      </w:r>
    </w:p>
    <w:p w:rsidR="003073A4" w:rsidRDefault="000545DD">
      <w:pPr>
        <w:pBdr>
          <w:top w:val="nil"/>
          <w:left w:val="nil"/>
          <w:bottom w:val="nil"/>
          <w:right w:val="nil"/>
          <w:between w:val="nil"/>
        </w:pBdr>
        <w:spacing w:before="120" w:after="120" w:line="360" w:lineRule="auto"/>
        <w:jc w:val="both"/>
        <w:rPr>
          <w:color w:val="000000"/>
        </w:rPr>
      </w:pPr>
      <w:r>
        <w:rPr>
          <w:color w:val="000000"/>
        </w:rPr>
        <w:t>Além disso, a CDC realiza as seguintes atribuições:</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Cumprir e fazer cumprir as leis, os regulamentos e os contratos de concessão;</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Adotar as medidas solicitadas pelas demais autoridades no porto;</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Prestar apoio técnico e administrativo ao Conselho de Autoridade Portuária e ao órgão de gestão de mão de obra;</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Estabelecer o horário de funcionamento do porto, observadas as diretrizes do Ministério a qual se vincula, e as jornadas de trabalho no cais de uso público;</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Organizar a guarda portuária, em conformidade com a regulamentação expedida pelo poder concedente;</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Estabelecer, se necessário, escritórios ou representações;</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Decidir sobre conflitos que envolvam agentes que atuam no porto organizado, ressalvadas as competências das demais autoridades públicas;</w:t>
      </w:r>
    </w:p>
    <w:p w:rsidR="003073A4" w:rsidRDefault="000545DD">
      <w:pPr>
        <w:numPr>
          <w:ilvl w:val="0"/>
          <w:numId w:val="3"/>
        </w:numPr>
        <w:pBdr>
          <w:top w:val="nil"/>
          <w:left w:val="nil"/>
          <w:bottom w:val="nil"/>
          <w:right w:val="nil"/>
          <w:between w:val="nil"/>
        </w:pBdr>
        <w:spacing w:line="360" w:lineRule="auto"/>
        <w:jc w:val="both"/>
        <w:rPr>
          <w:color w:val="000000"/>
        </w:rPr>
      </w:pPr>
      <w:r>
        <w:rPr>
          <w:color w:val="000000"/>
        </w:rPr>
        <w:t>Exercer a coordenação das comissões locais de autoridades nos portos.</w:t>
      </w:r>
    </w:p>
    <w:p w:rsidR="003073A4" w:rsidRDefault="003073A4">
      <w:pPr>
        <w:rPr>
          <w:color w:val="FF0000"/>
        </w:rPr>
      </w:pPr>
    </w:p>
    <w:p w:rsidR="003073A4" w:rsidRDefault="000545DD">
      <w:pPr>
        <w:pBdr>
          <w:top w:val="nil"/>
          <w:left w:val="nil"/>
          <w:bottom w:val="nil"/>
          <w:right w:val="nil"/>
          <w:between w:val="nil"/>
        </w:pBdr>
        <w:spacing w:before="120" w:after="120" w:line="360" w:lineRule="auto"/>
        <w:jc w:val="both"/>
        <w:rPr>
          <w:color w:val="000000"/>
        </w:rPr>
      </w:pPr>
      <w:r>
        <w:rPr>
          <w:color w:val="000000"/>
        </w:rPr>
        <w:t>As atividades do Porto de Fortaleza são desenvolvidas alinhadas aos seus valores internos: ética, responsabilidade, transparência, integridade, orientadas pela busca contínua de resultados.</w:t>
      </w:r>
    </w:p>
    <w:p w:rsidR="005678DE" w:rsidRPr="008120ED" w:rsidRDefault="005678DE" w:rsidP="005678DE">
      <w:pPr>
        <w:pBdr>
          <w:top w:val="nil"/>
          <w:left w:val="nil"/>
          <w:bottom w:val="nil"/>
          <w:right w:val="nil"/>
          <w:between w:val="nil"/>
        </w:pBdr>
        <w:spacing w:before="120" w:after="120" w:line="360" w:lineRule="auto"/>
        <w:ind w:right="195"/>
        <w:jc w:val="both"/>
      </w:pPr>
      <w:r w:rsidRPr="008120ED">
        <w:t>A Companhia Docas do Ceará exerce papel estratégico para o desenvolvimento econômico e social do Estado do Ceará, atuando como infraestrutura logística essencial para o comércio exterior, abastecimento regional e integração das cadeias produtivas nacionais e internacionais. O Porto de Fortaleza possui relevância histórica e operacional na movimentação de granéis líquidos, especialmente combustíveis, contribuindo diretamente para o abastecimento da capital cearense e de parte significativa da Região Metropolitana de Fortaleza. Além disso, destaca-se nacionalmente como importante polo trigueiro do país, sendo referência na importação de trigo destinado à indústria alimentícia regional, com impacto direto na cadeia produtiva de massas, panificação e derivados no Nordeste. O Porto também desempenha papel relevante na logística de exportação de frutas e demais produtos do agronegócio nordestino, fortalecendo a competitividade regional e ampliando a inserção do Ceará no comércio internacional.</w:t>
      </w:r>
    </w:p>
    <w:p w:rsidR="005678DE" w:rsidRPr="005678DE" w:rsidRDefault="005678DE" w:rsidP="005678DE">
      <w:pPr>
        <w:pBdr>
          <w:top w:val="nil"/>
          <w:left w:val="nil"/>
          <w:bottom w:val="nil"/>
          <w:right w:val="nil"/>
          <w:between w:val="nil"/>
        </w:pBdr>
        <w:spacing w:before="120" w:after="120" w:line="360" w:lineRule="auto"/>
        <w:ind w:right="195"/>
        <w:jc w:val="both"/>
        <w:rPr>
          <w:color w:val="FF0000"/>
        </w:rPr>
      </w:pPr>
    </w:p>
    <w:p w:rsidR="003073A4" w:rsidRPr="008120ED" w:rsidRDefault="005678DE" w:rsidP="005678DE">
      <w:pPr>
        <w:pBdr>
          <w:top w:val="nil"/>
          <w:left w:val="nil"/>
          <w:bottom w:val="nil"/>
          <w:right w:val="nil"/>
          <w:between w:val="nil"/>
        </w:pBdr>
        <w:spacing w:before="120" w:after="120" w:line="360" w:lineRule="auto"/>
        <w:ind w:right="195"/>
        <w:jc w:val="both"/>
      </w:pPr>
      <w:r w:rsidRPr="008120ED">
        <w:t>A atuação da CDC gera impactos relevantes sobre a economia local e regional, considerando os empregos diretos, indiretos e induzidos relacionados às operações portuárias, cadeia logística, transportes, serviços marítimos, turismo e atividades industriais vinculadas ao Porto de Fortaleza. A Companhia atua ainda como indutora de desenvolvimento regional, promovendo investimentos em infraestrutura, modernização operacional e sustentabilidade, alinhados às diretrizes do Ministério de Portos e Aeroportos. Como ativo estratégico para a competitividade econômica e para a relação porto-cidade, a presença do Terminal Marítimo de Passageiros e a operação de cruzeiros marítimos também reforçam a integração urbana e turística da capital cearense, gerando externalidades positivas para os setores de comércio, hotelaria, serviços e economia criativa.</w:t>
      </w: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Metas relativas ao desenvolvimento de atividades que atendam aos objetivos de políticas públicas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Em 2025, a CDC esteve vinculada ao Ministério de Portos e Aeroportos (MPOR), conforme sua estrutura regimental aprovada pelo Decreto nº 11.979, de 08 de abril de 2024, e continuou desempenhando relevante papel para a operacionalização das políticas públicas portuárias do Ministério, principalmente para o atingimento dos objetivos definidos na Política Nacional de Transportes (PNT), no Planejamento Estratégico Institucional do Ministério Supervisor, bem como às diretrizes do Plano Plurianual da União para o período de 2024 a 2027 (PPA 2024-2027).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De acordo com o Plano Plurianual 2024-2027, estabelecido pela Lei nº 14.802/2024, existem 35 objetivos estratégicos organizados em 03 (três) eixos: desenvolvimento social e garantia de direitos; desenvolvimento econômico e sustentabilidade socioambiental e climática; e, defesa da democracia e reconstrução do Estado e da soberania. </w:t>
      </w:r>
    </w:p>
    <w:p w:rsidR="003073A4" w:rsidRDefault="000545DD">
      <w:pPr>
        <w:pBdr>
          <w:top w:val="nil"/>
          <w:left w:val="nil"/>
          <w:bottom w:val="nil"/>
          <w:right w:val="nil"/>
          <w:between w:val="nil"/>
        </w:pBdr>
        <w:spacing w:before="120" w:after="120" w:line="360" w:lineRule="auto"/>
        <w:jc w:val="both"/>
        <w:rPr>
          <w:color w:val="000000"/>
        </w:rPr>
      </w:pPr>
      <w:r>
        <w:rPr>
          <w:color w:val="000000"/>
        </w:rPr>
        <w:t>As diretrizes sob as quais estão subordinadas as políticas públicas do Ministério Supervisor, no caso do Ministério de Portos e Aeroportos, citadas no referido documento, encontram-se listadas a seguir:</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promover a inclusão econômica e social e a melhoria da qualidade de vida da população, com garantia de direitos e cidadania;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promover a redução das desigualdades sociais e regionais;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valorizar a diversidade cultural e regional;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fortalecer a equidade de gênero, raça, etnia com respeito à orientação sexual e a garantia da inclusão de idosos e pessoas com deficiência;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lastRenderedPageBreak/>
        <w:t xml:space="preserve">contribuir com as políticas de adaptação às mudanças climáticas e de mitigação de seus impactos;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apoiar a transição para a economia verde, digital e criativa com fortalecimento da ciência, tecnologia e inovação;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fortalecer a dimensão socioambiental nas políticas públicas;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promover a transparência e a gestão participativa na elaboração e implementação do orçamento e das políticas públicas, com foco em seus beneficiários e em seus resultados;</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atuar em articulação com movimentos sociais e agentes públicos, privados e do terceiro setor visando mobilizar competências e recursos para ampliar a capacidade de atuação do Estado;</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promover a cooperação internacional para o desenvolvimento sustentável;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potencializar a cooperação federativa;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assegurar que os recursos públicos sejam utilizados de forma eficiente, fiscal e socialmente responsável; e, </w:t>
      </w:r>
    </w:p>
    <w:p w:rsidR="003073A4" w:rsidRDefault="000545DD">
      <w:pPr>
        <w:numPr>
          <w:ilvl w:val="0"/>
          <w:numId w:val="10"/>
        </w:numPr>
        <w:pBdr>
          <w:top w:val="nil"/>
          <w:left w:val="nil"/>
          <w:bottom w:val="nil"/>
          <w:right w:val="nil"/>
          <w:between w:val="nil"/>
        </w:pBdr>
        <w:spacing w:before="120" w:after="120" w:line="360" w:lineRule="auto"/>
        <w:jc w:val="both"/>
        <w:rPr>
          <w:color w:val="000000"/>
        </w:rPr>
      </w:pPr>
      <w:r>
        <w:rPr>
          <w:color w:val="000000"/>
        </w:rPr>
        <w:t xml:space="preserve">promover a gestão pública inovadora e efetiva, fomentando a transformação digital.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Diretrizes mais direcionadas a cada um dos subsistemas federais de transportes, dentre eles o aquaviário, estão presentes na Política Nacional de Logística, instituída pela Portaria nº 235 do então Ministério dos Transportes, Portos e Aviação Civil, de 28 de março de 2018, e, complementarmente, nos instrumentos previstos no Planejamento Integrado de Transportes, definido pela Portaria nº 123 do então Ministério da Infraestrutura, de 21 de agosto de 2020, com destaque para o Plano Nacional de Logística (PNL) que serve de referencial de planejamento para a identificação de necessidades e oportunidades do setor.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O Porto de Fortaleza figura como capacidade ofertada ao Sistema de Transportes e cuja ampliação para atendimento da demanda futura e redução de custos logísticos está prevista atualmente tanto no Plano Nacional de Logística 2035, que prevê a execução de projetos neste porto nos seus diversos cenários de análise, incluindo investimentos necessários ao aumento de capacidade de movimentação de cargas gerais conteinerizadas e não conteinerizadas, granéis líquidos, granéis sólidos agrícolas e outros granéis sólidos minerais.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 aplicação das políticas no contexto regional é traduzida pelo Plano Mestre do Complexo </w:t>
      </w:r>
      <w:r>
        <w:rPr>
          <w:color w:val="000000"/>
        </w:rPr>
        <w:lastRenderedPageBreak/>
        <w:t>Portuário de Fortaleza e Pecém que prevê, além da ampliação de capacidade, ações de aprimoramento da governança e modernização da gestão portuária; promoção da sustentabilidade ambiental; melhoria da produtividade, dos níveis de serviços e aperfeiçoamento dos fluxos logísticos para movimentação de carga e transporte de passageiros.</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Para o atingimento das diretrizes, dos objetivos, bem como execução das ações definidas nos instrumentos de planejamento e para cumprir seu papel nas políticas públicas do setor, a CDC e o Porto de Fortaleza contam com vantagens relacionadas à sua localização estratégica, tanto com relação a importantes mercados internacionais, quanto com usuários finais de serviços e bens de consumo, além de contar com infraestrutura consolidada para acesso por diversos modos de transporte. Destaca-se, ainda, a participação importante no desenvolvimento econômico e social por meio da área de influência do Porto de Fortaleza que abrange os estados do Ceará, Piauí, Maranhão, Rio Grande do Norte, Paraíba e Pernambuco, estendendo-se também às regiões Norte, Centro-Oeste e ao Vale do São Francisco, provendo infraestrutura para o escoamento de produtos locais e regionais.</w:t>
      </w:r>
    </w:p>
    <w:p w:rsidR="003073A4" w:rsidRDefault="000545DD">
      <w:pPr>
        <w:pBdr>
          <w:top w:val="nil"/>
          <w:left w:val="nil"/>
          <w:bottom w:val="nil"/>
          <w:right w:val="nil"/>
          <w:between w:val="nil"/>
        </w:pBdr>
        <w:spacing w:before="120" w:after="120" w:line="360" w:lineRule="auto"/>
        <w:ind w:right="195"/>
        <w:jc w:val="both"/>
      </w:pPr>
      <w:r>
        <w:rPr>
          <w:color w:val="000000"/>
        </w:rPr>
        <w:t>O Planejamento Integrado, com o relacionamento entre instrumentos de planejamento que orientam as políticas desdobradas pela CDC com metas específicas para o Porto, encontra-se representado na figura</w:t>
      </w:r>
      <w:r>
        <w:rPr>
          <w:color w:val="000000"/>
          <w:vertAlign w:val="superscript"/>
        </w:rPr>
        <w:t xml:space="preserve"> </w:t>
      </w:r>
      <w:r>
        <w:rPr>
          <w:color w:val="000000"/>
        </w:rPr>
        <w:t>a seguir:</w: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Figura 1 - Correlação entre instrumentos de planejamento</w:t>
      </w:r>
    </w:p>
    <w:p w:rsidR="006679E2" w:rsidRDefault="000545DD" w:rsidP="006679E2">
      <w:pPr>
        <w:pBdr>
          <w:top w:val="single" w:sz="4" w:space="1" w:color="000000"/>
          <w:left w:val="single" w:sz="4" w:space="4" w:color="000000"/>
          <w:bottom w:val="single" w:sz="4" w:space="1" w:color="000000"/>
          <w:right w:val="single" w:sz="4" w:space="4" w:color="000000"/>
          <w:between w:val="single" w:sz="4" w:space="1" w:color="000000"/>
        </w:pBdr>
        <w:spacing w:before="120" w:after="120" w:line="360" w:lineRule="auto"/>
        <w:ind w:right="195"/>
        <w:rPr>
          <w:color w:val="000000"/>
          <w:sz w:val="18"/>
          <w:szCs w:val="18"/>
        </w:rPr>
      </w:pPr>
      <w:r>
        <w:rPr>
          <w:noProof/>
          <w:color w:val="FF0000"/>
          <w:sz w:val="18"/>
          <w:szCs w:val="18"/>
        </w:rPr>
        <w:drawing>
          <wp:inline distT="0" distB="0" distL="0" distR="0">
            <wp:extent cx="4181475" cy="3524250"/>
            <wp:effectExtent l="0" t="0" r="9525"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82078" cy="3524758"/>
                    </a:xfrm>
                    <a:prstGeom prst="rect">
                      <a:avLst/>
                    </a:prstGeom>
                    <a:ln/>
                  </pic:spPr>
                </pic:pic>
              </a:graphicData>
            </a:graphic>
          </wp:inline>
        </w:drawing>
      </w:r>
    </w:p>
    <w:p w:rsidR="003073A4" w:rsidRDefault="006679E2" w:rsidP="006679E2">
      <w:pPr>
        <w:pBdr>
          <w:top w:val="single" w:sz="4" w:space="1" w:color="000000"/>
          <w:left w:val="single" w:sz="4" w:space="4" w:color="000000"/>
          <w:bottom w:val="single" w:sz="4" w:space="1" w:color="000000"/>
          <w:right w:val="single" w:sz="4" w:space="4" w:color="000000"/>
          <w:between w:val="single" w:sz="4" w:space="1" w:color="000000"/>
        </w:pBdr>
        <w:spacing w:before="120" w:after="120" w:line="360" w:lineRule="auto"/>
        <w:ind w:right="195"/>
        <w:rPr>
          <w:color w:val="000000"/>
        </w:rPr>
      </w:pPr>
      <w:r>
        <w:rPr>
          <w:color w:val="000000"/>
          <w:sz w:val="18"/>
          <w:szCs w:val="18"/>
        </w:rPr>
        <w:t>Fo</w:t>
      </w:r>
      <w:r w:rsidR="000545DD">
        <w:rPr>
          <w:color w:val="000000"/>
          <w:sz w:val="18"/>
          <w:szCs w:val="18"/>
        </w:rPr>
        <w:t>nte: CODPLA - Coordenadoria de Planejamento Estratégico (2026)</w:t>
      </w:r>
    </w:p>
    <w:p w:rsidR="003073A4" w:rsidRDefault="000545DD">
      <w:pPr>
        <w:pBdr>
          <w:top w:val="nil"/>
          <w:left w:val="nil"/>
          <w:bottom w:val="nil"/>
          <w:right w:val="nil"/>
          <w:between w:val="nil"/>
        </w:pBdr>
        <w:spacing w:before="120" w:after="120" w:line="360" w:lineRule="auto"/>
        <w:jc w:val="both"/>
        <w:rPr>
          <w:color w:val="000000"/>
        </w:rPr>
      </w:pPr>
      <w:r>
        <w:rPr>
          <w:color w:val="000000"/>
        </w:rPr>
        <w:lastRenderedPageBreak/>
        <w:t>À luz dessa correlação, a CDC estabeleceu seu mapa estratégico, contendo os objetivos para cumprimento da sua missão de desenvolver e administrar o Porto de Fortaleza, oferecendo serviços e infraestrutura eficientes, sendo indutor do comércio e do desenvolvimento econômico com responsabilidade socioambiental, e de forma a alcançar sua visão. A visão da CDC é, até 2028, ser reconhecida como Autoridade Portuária referência no Nordeste, pela gestão portuária eficiente e ambientalmente sustentável. A CDC tem como valores: ética, responsabilidade socioambiental, transparência e integridade.</w:t>
      </w:r>
    </w:p>
    <w:p w:rsidR="003073A4" w:rsidRDefault="000545DD">
      <w:pPr>
        <w:pBdr>
          <w:top w:val="nil"/>
          <w:left w:val="nil"/>
          <w:bottom w:val="nil"/>
          <w:right w:val="nil"/>
          <w:between w:val="nil"/>
        </w:pBdr>
        <w:spacing w:before="120" w:after="120" w:line="360" w:lineRule="auto"/>
        <w:ind w:right="195"/>
        <w:rPr>
          <w:i/>
          <w:iCs/>
          <w:color w:val="000000"/>
        </w:rPr>
      </w:pPr>
      <w:r>
        <w:rPr>
          <w:color w:val="000000"/>
          <w:sz w:val="18"/>
          <w:szCs w:val="18"/>
        </w:rPr>
        <w:t>Figura 2 - Mapa estratégico CDC 2025 -2029</w:t>
      </w:r>
    </w:p>
    <w:p w:rsidR="003073A4" w:rsidRDefault="000545DD">
      <w:pPr>
        <w:pBdr>
          <w:top w:val="single" w:sz="4" w:space="1" w:color="000000"/>
          <w:left w:val="single" w:sz="4" w:space="4" w:color="000000"/>
          <w:bottom w:val="single" w:sz="4" w:space="1" w:color="000000"/>
          <w:right w:val="single" w:sz="4" w:space="4" w:color="000000"/>
          <w:between w:val="single" w:sz="4" w:space="1" w:color="000000"/>
        </w:pBdr>
        <w:spacing w:before="120" w:after="120" w:line="360" w:lineRule="auto"/>
        <w:ind w:right="195"/>
        <w:jc w:val="both"/>
        <w:rPr>
          <w:i/>
          <w:iCs/>
          <w:color w:val="FF0000"/>
          <w:sz w:val="18"/>
          <w:szCs w:val="18"/>
        </w:rPr>
      </w:pPr>
      <w:r>
        <w:rPr>
          <w:i/>
          <w:iCs/>
          <w:noProof/>
          <w:color w:val="FF0000"/>
          <w:sz w:val="18"/>
          <w:szCs w:val="18"/>
        </w:rPr>
        <w:drawing>
          <wp:inline distT="0" distB="0" distL="0" distR="0">
            <wp:extent cx="5553075" cy="346202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53075" cy="3462020"/>
                    </a:xfrm>
                    <a:prstGeom prst="rect">
                      <a:avLst/>
                    </a:prstGeom>
                    <a:ln/>
                  </pic:spPr>
                </pic:pic>
              </a:graphicData>
            </a:graphic>
          </wp:inline>
        </w:drawing>
      </w:r>
    </w:p>
    <w:p w:rsidR="003073A4" w:rsidRDefault="000545DD">
      <w:pPr>
        <w:pBdr>
          <w:top w:val="nil"/>
          <w:left w:val="nil"/>
          <w:bottom w:val="nil"/>
          <w:right w:val="nil"/>
          <w:between w:val="nil"/>
        </w:pBdr>
        <w:spacing w:before="120" w:after="240" w:line="360" w:lineRule="auto"/>
        <w:ind w:right="193"/>
        <w:rPr>
          <w:color w:val="000000"/>
          <w:sz w:val="18"/>
          <w:szCs w:val="18"/>
        </w:rPr>
      </w:pPr>
      <w:r>
        <w:rPr>
          <w:color w:val="000000"/>
          <w:sz w:val="18"/>
          <w:szCs w:val="18"/>
        </w:rPr>
        <w:t xml:space="preserve"> Fonte: Plano Estratégico 2025-2029 (2026)</w:t>
      </w:r>
    </w:p>
    <w:p w:rsidR="003073A4" w:rsidRDefault="000545DD">
      <w:pPr>
        <w:pBdr>
          <w:top w:val="nil"/>
          <w:left w:val="nil"/>
          <w:bottom w:val="nil"/>
          <w:right w:val="nil"/>
          <w:between w:val="nil"/>
        </w:pBdr>
        <w:spacing w:before="120" w:after="120" w:line="360" w:lineRule="auto"/>
        <w:jc w:val="both"/>
        <w:rPr>
          <w:color w:val="000000"/>
        </w:rPr>
      </w:pPr>
      <w:r>
        <w:rPr>
          <w:color w:val="000000"/>
        </w:rPr>
        <w:t>A partir dos objetivos do Mapa Estratégico da CDC, foram definidas perspectivas estratégicas com indicadores a serem monitorados, e dessa forma, por meio de um Plano de Negócios, ser capaz de avaliar as ações estruturantes fundamentais para o desempenho e a sustentabilidade da empresa.</w:t>
      </w:r>
    </w:p>
    <w:p w:rsidR="003073A4" w:rsidRDefault="000545DD">
      <w:pPr>
        <w:pBdr>
          <w:top w:val="nil"/>
          <w:left w:val="nil"/>
          <w:bottom w:val="nil"/>
          <w:right w:val="nil"/>
          <w:between w:val="nil"/>
        </w:pBdr>
        <w:spacing w:before="120" w:after="120" w:line="360" w:lineRule="auto"/>
        <w:ind w:right="195"/>
        <w:jc w:val="both"/>
        <w:rPr>
          <w:color w:val="000000"/>
          <w:sz w:val="18"/>
          <w:szCs w:val="18"/>
        </w:rPr>
      </w:pPr>
      <w:r>
        <w:rPr>
          <w:color w:val="000000"/>
        </w:rPr>
        <w:t>Para 2025, foram propostos indicadores e metas para mensurar a aproximação da Companhia no atingimento de seus objetivos estratégicos, conforme apresentado a seguir:</w:t>
      </w:r>
      <w:r w:rsidR="00AE5B3E">
        <w:rPr>
          <w:color w:val="000000"/>
        </w:rPr>
        <w:t xml:space="preserve"> </w:t>
      </w:r>
      <w:r>
        <w:rPr>
          <w:color w:val="000000"/>
          <w:sz w:val="18"/>
          <w:szCs w:val="18"/>
        </w:rPr>
        <w:t>Tabela 1 - Indicadores do Plano de Negócios e Metas CDC</w:t>
      </w:r>
      <w:r w:rsidR="00206CBC">
        <w:rPr>
          <w:color w:val="000000"/>
          <w:sz w:val="18"/>
          <w:szCs w:val="18"/>
        </w:rPr>
        <w:t>.</w:t>
      </w:r>
    </w:p>
    <w:p w:rsidR="00206CBC" w:rsidRDefault="00206CBC">
      <w:pPr>
        <w:pBdr>
          <w:top w:val="nil"/>
          <w:left w:val="nil"/>
          <w:bottom w:val="nil"/>
          <w:right w:val="nil"/>
          <w:between w:val="nil"/>
        </w:pBdr>
        <w:spacing w:before="120" w:after="120" w:line="360" w:lineRule="auto"/>
        <w:ind w:right="195"/>
        <w:jc w:val="both"/>
        <w:rPr>
          <w:color w:val="000000"/>
          <w:sz w:val="18"/>
          <w:szCs w:val="18"/>
        </w:rPr>
      </w:pPr>
    </w:p>
    <w:p w:rsidR="00206CBC" w:rsidRDefault="00206CBC">
      <w:pPr>
        <w:pBdr>
          <w:top w:val="nil"/>
          <w:left w:val="nil"/>
          <w:bottom w:val="nil"/>
          <w:right w:val="nil"/>
          <w:between w:val="nil"/>
        </w:pBdr>
        <w:spacing w:before="120" w:after="120" w:line="360" w:lineRule="auto"/>
        <w:ind w:right="195"/>
        <w:jc w:val="both"/>
        <w:rPr>
          <w:color w:val="000000"/>
          <w:sz w:val="18"/>
          <w:szCs w:val="18"/>
        </w:rPr>
      </w:pPr>
    </w:p>
    <w:p w:rsidR="00206CBC" w:rsidRDefault="00206CBC">
      <w:pPr>
        <w:pBdr>
          <w:top w:val="nil"/>
          <w:left w:val="nil"/>
          <w:bottom w:val="nil"/>
          <w:right w:val="nil"/>
          <w:between w:val="nil"/>
        </w:pBdr>
        <w:spacing w:before="120" w:after="120" w:line="360" w:lineRule="auto"/>
        <w:ind w:right="195"/>
        <w:jc w:val="both"/>
        <w:rPr>
          <w:color w:val="000000"/>
          <w:sz w:val="18"/>
          <w:szCs w:val="18"/>
        </w:rPr>
      </w:pPr>
    </w:p>
    <w:p w:rsidR="00206CBC" w:rsidRDefault="00206CBC">
      <w:pPr>
        <w:pBdr>
          <w:top w:val="nil"/>
          <w:left w:val="nil"/>
          <w:bottom w:val="nil"/>
          <w:right w:val="nil"/>
          <w:between w:val="nil"/>
        </w:pBdr>
        <w:spacing w:before="120" w:after="120" w:line="360" w:lineRule="auto"/>
        <w:ind w:right="195"/>
        <w:jc w:val="both"/>
        <w:rPr>
          <w:color w:val="000000"/>
          <w:sz w:val="18"/>
          <w:szCs w:val="18"/>
        </w:rPr>
      </w:pPr>
    </w:p>
    <w:p w:rsidR="003073A4" w:rsidRDefault="000545DD">
      <w:pPr>
        <w:pBdr>
          <w:top w:val="nil"/>
          <w:left w:val="nil"/>
          <w:bottom w:val="nil"/>
          <w:right w:val="nil"/>
          <w:between w:val="nil"/>
        </w:pBdr>
        <w:spacing w:before="120" w:after="120" w:line="360" w:lineRule="auto"/>
        <w:ind w:right="195"/>
        <w:rPr>
          <w:i/>
          <w:iCs/>
          <w:color w:val="000000"/>
        </w:rPr>
      </w:pPr>
      <w:r>
        <w:rPr>
          <w:color w:val="000000"/>
          <w:sz w:val="18"/>
          <w:szCs w:val="18"/>
        </w:rPr>
        <w:lastRenderedPageBreak/>
        <w:t>Tabela 1 - Indicadores do Plano de Negócios e Metas CDC</w:t>
      </w:r>
    </w:p>
    <w:tbl>
      <w:tblPr>
        <w:tblStyle w:val="a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4"/>
        <w:gridCol w:w="1144"/>
        <w:gridCol w:w="1262"/>
        <w:gridCol w:w="1045"/>
        <w:gridCol w:w="785"/>
        <w:gridCol w:w="1035"/>
        <w:gridCol w:w="817"/>
        <w:gridCol w:w="835"/>
        <w:gridCol w:w="1043"/>
        <w:gridCol w:w="845"/>
      </w:tblGrid>
      <w:tr w:rsidR="003073A4">
        <w:trPr>
          <w:trHeight w:val="495"/>
        </w:trPr>
        <w:tc>
          <w:tcPr>
            <w:tcW w:w="1254" w:type="dxa"/>
            <w:shd w:val="clear" w:color="auto" w:fill="203764"/>
            <w:vAlign w:val="center"/>
          </w:tcPr>
          <w:p w:rsidR="003073A4" w:rsidRDefault="000545DD">
            <w:pPr>
              <w:widowControl/>
              <w:jc w:val="center"/>
              <w:rPr>
                <w:b/>
                <w:bCs/>
                <w:color w:val="FFFFFF"/>
                <w:sz w:val="18"/>
                <w:szCs w:val="18"/>
              </w:rPr>
            </w:pPr>
            <w:r>
              <w:rPr>
                <w:b/>
                <w:bCs/>
                <w:color w:val="FFFFFF"/>
                <w:sz w:val="18"/>
                <w:szCs w:val="18"/>
              </w:rPr>
              <w:t>PERSPECTIVA</w:t>
            </w:r>
          </w:p>
        </w:tc>
        <w:tc>
          <w:tcPr>
            <w:tcW w:w="1144" w:type="dxa"/>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1262" w:type="dxa"/>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1830" w:type="dxa"/>
            <w:gridSpan w:val="2"/>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1035" w:type="dxa"/>
            <w:shd w:val="clear" w:color="auto" w:fill="203764"/>
            <w:vAlign w:val="center"/>
          </w:tcPr>
          <w:p w:rsidR="003073A4" w:rsidRDefault="000545DD">
            <w:pPr>
              <w:widowControl/>
              <w:jc w:val="center"/>
              <w:rPr>
                <w:b/>
                <w:bCs/>
                <w:color w:val="FFFFFF"/>
                <w:sz w:val="18"/>
                <w:szCs w:val="18"/>
              </w:rPr>
            </w:pPr>
            <w:r>
              <w:rPr>
                <w:b/>
                <w:bCs/>
                <w:color w:val="FFFFFF"/>
                <w:sz w:val="18"/>
                <w:szCs w:val="18"/>
              </w:rPr>
              <w:t>UN.</w:t>
            </w:r>
          </w:p>
        </w:tc>
        <w:tc>
          <w:tcPr>
            <w:tcW w:w="817" w:type="dxa"/>
            <w:shd w:val="clear" w:color="auto" w:fill="203764"/>
            <w:vAlign w:val="center"/>
          </w:tcPr>
          <w:p w:rsidR="003073A4" w:rsidRDefault="000545DD">
            <w:pPr>
              <w:widowControl/>
              <w:jc w:val="center"/>
              <w:rPr>
                <w:b/>
                <w:bCs/>
                <w:color w:val="FFFFFF"/>
                <w:sz w:val="18"/>
                <w:szCs w:val="18"/>
              </w:rPr>
            </w:pPr>
            <w:r>
              <w:rPr>
                <w:b/>
                <w:bCs/>
                <w:color w:val="FFFFFF"/>
                <w:sz w:val="18"/>
                <w:szCs w:val="18"/>
              </w:rPr>
              <w:t>FREQ</w:t>
            </w:r>
          </w:p>
        </w:tc>
        <w:tc>
          <w:tcPr>
            <w:tcW w:w="835"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r>
              <w:rPr>
                <w:b/>
                <w:bCs/>
                <w:color w:val="FFFFFF"/>
                <w:sz w:val="18"/>
                <w:szCs w:val="18"/>
              </w:rPr>
              <w:br/>
              <w:t>2025 </w:t>
            </w:r>
          </w:p>
        </w:tc>
        <w:tc>
          <w:tcPr>
            <w:tcW w:w="1043" w:type="dxa"/>
            <w:shd w:val="clear" w:color="auto" w:fill="203764"/>
          </w:tcPr>
          <w:p w:rsidR="003073A4" w:rsidRDefault="000545DD">
            <w:pPr>
              <w:widowControl/>
              <w:jc w:val="center"/>
              <w:rPr>
                <w:b/>
                <w:bCs/>
                <w:color w:val="FFFFFF"/>
                <w:sz w:val="18"/>
                <w:szCs w:val="18"/>
              </w:rPr>
            </w:pPr>
            <w:r>
              <w:rPr>
                <w:b/>
                <w:bCs/>
                <w:color w:val="FFFFFF"/>
                <w:sz w:val="18"/>
                <w:szCs w:val="18"/>
              </w:rPr>
              <w:t>RESULTADO 2025</w:t>
            </w:r>
          </w:p>
        </w:tc>
        <w:tc>
          <w:tcPr>
            <w:tcW w:w="845" w:type="dxa"/>
            <w:shd w:val="clear" w:color="auto" w:fill="203764"/>
          </w:tcPr>
          <w:p w:rsidR="003073A4" w:rsidRDefault="000545DD">
            <w:pPr>
              <w:widowControl/>
              <w:jc w:val="center"/>
              <w:rPr>
                <w:b/>
                <w:bCs/>
                <w:color w:val="FFFFFF"/>
                <w:sz w:val="18"/>
                <w:szCs w:val="18"/>
              </w:rPr>
            </w:pPr>
            <w:r>
              <w:rPr>
                <w:b/>
                <w:bCs/>
                <w:color w:val="FFFFFF"/>
                <w:sz w:val="18"/>
                <w:szCs w:val="18"/>
              </w:rPr>
              <w:t xml:space="preserve">% META </w:t>
            </w:r>
          </w:p>
          <w:p w:rsidR="003073A4" w:rsidRDefault="000545DD">
            <w:pPr>
              <w:widowControl/>
              <w:jc w:val="center"/>
              <w:rPr>
                <w:b/>
                <w:bCs/>
                <w:color w:val="FFFFFF"/>
                <w:sz w:val="18"/>
                <w:szCs w:val="18"/>
              </w:rPr>
            </w:pPr>
            <w:r>
              <w:rPr>
                <w:b/>
                <w:bCs/>
                <w:color w:val="FFFFFF"/>
                <w:sz w:val="18"/>
                <w:szCs w:val="18"/>
              </w:rPr>
              <w:t>2025</w:t>
            </w:r>
          </w:p>
        </w:tc>
      </w:tr>
      <w:tr w:rsidR="003073A4">
        <w:trPr>
          <w:trHeight w:val="690"/>
        </w:trPr>
        <w:tc>
          <w:tcPr>
            <w:tcW w:w="1254" w:type="dxa"/>
            <w:vMerge w:val="restart"/>
            <w:shd w:val="clear" w:color="auto" w:fill="8497B0"/>
            <w:vAlign w:val="center"/>
          </w:tcPr>
          <w:p w:rsidR="003073A4" w:rsidRDefault="000545DD">
            <w:pPr>
              <w:widowControl/>
              <w:jc w:val="center"/>
              <w:rPr>
                <w:b/>
                <w:bCs/>
                <w:color w:val="FFFFFF"/>
                <w:sz w:val="16"/>
                <w:szCs w:val="16"/>
              </w:rPr>
            </w:pPr>
            <w:r>
              <w:rPr>
                <w:b/>
                <w:bCs/>
                <w:color w:val="FFFFFF"/>
                <w:sz w:val="16"/>
                <w:szCs w:val="16"/>
              </w:rPr>
              <w:t>Resultados</w:t>
            </w:r>
          </w:p>
        </w:tc>
        <w:tc>
          <w:tcPr>
            <w:tcW w:w="1144" w:type="dxa"/>
            <w:shd w:val="clear" w:color="auto" w:fill="BFBFBF"/>
            <w:vAlign w:val="center"/>
          </w:tcPr>
          <w:p w:rsidR="003073A4" w:rsidRDefault="000545DD">
            <w:pPr>
              <w:widowControl/>
              <w:rPr>
                <w:b/>
                <w:bCs/>
                <w:sz w:val="16"/>
                <w:szCs w:val="16"/>
              </w:rPr>
            </w:pPr>
            <w:r>
              <w:rPr>
                <w:b/>
                <w:bCs/>
                <w:sz w:val="16"/>
                <w:szCs w:val="16"/>
              </w:rPr>
              <w:t>Resultado econômico</w:t>
            </w:r>
          </w:p>
        </w:tc>
        <w:tc>
          <w:tcPr>
            <w:tcW w:w="1262" w:type="dxa"/>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830" w:type="dxa"/>
            <w:gridSpan w:val="2"/>
            <w:shd w:val="clear" w:color="auto" w:fill="BFBFBF"/>
            <w:vAlign w:val="center"/>
          </w:tcPr>
          <w:p w:rsidR="003073A4" w:rsidRDefault="000545DD">
            <w:pPr>
              <w:widowControl/>
              <w:rPr>
                <w:sz w:val="16"/>
                <w:szCs w:val="16"/>
              </w:rPr>
            </w:pPr>
            <w:r>
              <w:rPr>
                <w:sz w:val="16"/>
                <w:szCs w:val="16"/>
              </w:rPr>
              <w:t>Lucro ou prejuízo do exercício (DRE)</w:t>
            </w:r>
          </w:p>
        </w:tc>
        <w:tc>
          <w:tcPr>
            <w:tcW w:w="1035" w:type="dxa"/>
            <w:shd w:val="clear" w:color="auto" w:fill="BFBFBF"/>
            <w:vAlign w:val="center"/>
          </w:tcPr>
          <w:p w:rsidR="003073A4" w:rsidRDefault="000545DD">
            <w:pPr>
              <w:widowControl/>
              <w:jc w:val="center"/>
              <w:rPr>
                <w:sz w:val="16"/>
                <w:szCs w:val="16"/>
              </w:rPr>
            </w:pPr>
            <w:r>
              <w:rPr>
                <w:sz w:val="16"/>
                <w:szCs w:val="16"/>
              </w:rPr>
              <w:t>R$ mil</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b/>
                <w:bCs/>
                <w:sz w:val="16"/>
                <w:szCs w:val="16"/>
              </w:rPr>
            </w:pPr>
            <w:r>
              <w:rPr>
                <w:sz w:val="16"/>
                <w:szCs w:val="16"/>
              </w:rPr>
              <w:t xml:space="preserve">7,86 </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3,08</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39,1%</w:t>
            </w:r>
          </w:p>
        </w:tc>
      </w:tr>
      <w:tr w:rsidR="003073A4">
        <w:trPr>
          <w:trHeight w:val="690"/>
        </w:trPr>
        <w:tc>
          <w:tcPr>
            <w:tcW w:w="1254" w:type="dxa"/>
            <w:vMerge/>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EBITDA</w:t>
            </w:r>
          </w:p>
        </w:tc>
        <w:tc>
          <w:tcPr>
            <w:tcW w:w="1262" w:type="dxa"/>
            <w:shd w:val="clear" w:color="auto" w:fill="BFBFBF"/>
            <w:vAlign w:val="center"/>
          </w:tcPr>
          <w:p w:rsidR="003073A4" w:rsidRDefault="000545DD">
            <w:pPr>
              <w:widowControl/>
              <w:rPr>
                <w:sz w:val="16"/>
                <w:szCs w:val="16"/>
              </w:rPr>
            </w:pPr>
            <w:r>
              <w:rPr>
                <w:sz w:val="16"/>
                <w:szCs w:val="16"/>
              </w:rPr>
              <w:t>Garantir a viabilidade econômica e autossuficiência financeira</w:t>
            </w:r>
          </w:p>
        </w:tc>
        <w:tc>
          <w:tcPr>
            <w:tcW w:w="1830" w:type="dxa"/>
            <w:gridSpan w:val="2"/>
            <w:shd w:val="clear" w:color="auto" w:fill="BFBFBF"/>
            <w:vAlign w:val="center"/>
          </w:tcPr>
          <w:p w:rsidR="003073A4" w:rsidRDefault="000545DD">
            <w:pPr>
              <w:widowControl/>
              <w:rPr>
                <w:sz w:val="16"/>
                <w:szCs w:val="16"/>
              </w:rPr>
            </w:pPr>
            <w:r>
              <w:rPr>
                <w:sz w:val="16"/>
                <w:szCs w:val="16"/>
              </w:rPr>
              <w:t>Resultado Econômico - Amortização - Depreciação - Variações Monetárias - Outros Custos</w:t>
            </w:r>
          </w:p>
        </w:tc>
        <w:tc>
          <w:tcPr>
            <w:tcW w:w="1035" w:type="dxa"/>
            <w:shd w:val="clear" w:color="auto" w:fill="BFBFBF"/>
            <w:vAlign w:val="center"/>
          </w:tcPr>
          <w:p w:rsidR="003073A4" w:rsidRDefault="000545DD">
            <w:pPr>
              <w:widowControl/>
              <w:jc w:val="center"/>
              <w:rPr>
                <w:sz w:val="16"/>
                <w:szCs w:val="16"/>
              </w:rPr>
            </w:pPr>
            <w:r>
              <w:rPr>
                <w:sz w:val="16"/>
                <w:szCs w:val="16"/>
              </w:rPr>
              <w:t>R$ mil</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 xml:space="preserve">15,58 </w:t>
            </w:r>
          </w:p>
        </w:tc>
        <w:tc>
          <w:tcPr>
            <w:tcW w:w="1043" w:type="dxa"/>
            <w:shd w:val="clear" w:color="auto" w:fill="BFBFBF"/>
          </w:tcPr>
          <w:p w:rsidR="003073A4" w:rsidRPr="00AE5B3E" w:rsidRDefault="003073A4">
            <w:pPr>
              <w:widowControl/>
              <w:jc w:val="center"/>
              <w:rPr>
                <w:sz w:val="16"/>
                <w:szCs w:val="16"/>
              </w:rPr>
            </w:pPr>
          </w:p>
          <w:p w:rsidR="003073A4" w:rsidRPr="00AE5B3E" w:rsidRDefault="003073A4">
            <w:pPr>
              <w:widowControl/>
              <w:jc w:val="center"/>
              <w:rPr>
                <w:sz w:val="16"/>
                <w:szCs w:val="16"/>
              </w:rPr>
            </w:pPr>
          </w:p>
          <w:p w:rsidR="003073A4" w:rsidRPr="00AE5B3E" w:rsidRDefault="00B91362">
            <w:pPr>
              <w:widowControl/>
              <w:jc w:val="center"/>
              <w:rPr>
                <w:strike/>
                <w:sz w:val="16"/>
                <w:szCs w:val="16"/>
              </w:rPr>
            </w:pPr>
            <w:r w:rsidRPr="00AE5B3E">
              <w:rPr>
                <w:sz w:val="16"/>
                <w:szCs w:val="16"/>
              </w:rPr>
              <w:t>8,86</w:t>
            </w:r>
          </w:p>
        </w:tc>
        <w:tc>
          <w:tcPr>
            <w:tcW w:w="845" w:type="dxa"/>
            <w:shd w:val="clear" w:color="auto" w:fill="BFBFBF"/>
          </w:tcPr>
          <w:p w:rsidR="003073A4" w:rsidRPr="00AE5B3E" w:rsidRDefault="003073A4">
            <w:pPr>
              <w:widowControl/>
              <w:jc w:val="center"/>
              <w:rPr>
                <w:sz w:val="16"/>
                <w:szCs w:val="16"/>
              </w:rPr>
            </w:pPr>
          </w:p>
          <w:p w:rsidR="003073A4" w:rsidRPr="00AE5B3E" w:rsidRDefault="003073A4">
            <w:pPr>
              <w:widowControl/>
              <w:jc w:val="center"/>
              <w:rPr>
                <w:sz w:val="16"/>
                <w:szCs w:val="16"/>
              </w:rPr>
            </w:pPr>
          </w:p>
          <w:p w:rsidR="003073A4" w:rsidRPr="00AE5B3E" w:rsidRDefault="00B91362">
            <w:pPr>
              <w:widowControl/>
              <w:jc w:val="center"/>
              <w:rPr>
                <w:strike/>
                <w:sz w:val="16"/>
                <w:szCs w:val="16"/>
              </w:rPr>
            </w:pPr>
            <w:r w:rsidRPr="00AE5B3E">
              <w:rPr>
                <w:sz w:val="16"/>
                <w:szCs w:val="16"/>
              </w:rPr>
              <w:t>56,87%</w:t>
            </w:r>
          </w:p>
        </w:tc>
      </w:tr>
      <w:tr w:rsidR="003073A4">
        <w:trPr>
          <w:trHeight w:val="690"/>
        </w:trPr>
        <w:tc>
          <w:tcPr>
            <w:tcW w:w="1254" w:type="dxa"/>
            <w:vMerge/>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Receita</w:t>
            </w:r>
          </w:p>
        </w:tc>
        <w:tc>
          <w:tcPr>
            <w:tcW w:w="1262" w:type="dxa"/>
            <w:shd w:val="clear" w:color="auto" w:fill="BFBFBF"/>
            <w:vAlign w:val="center"/>
          </w:tcPr>
          <w:p w:rsidR="003073A4" w:rsidRDefault="000545DD">
            <w:pPr>
              <w:widowControl/>
              <w:rPr>
                <w:sz w:val="16"/>
                <w:szCs w:val="16"/>
              </w:rPr>
            </w:pPr>
            <w:r>
              <w:rPr>
                <w:sz w:val="16"/>
                <w:szCs w:val="16"/>
              </w:rPr>
              <w:t>Garantir a viabilidade econômica e autossuficiência financeira</w:t>
            </w:r>
          </w:p>
        </w:tc>
        <w:tc>
          <w:tcPr>
            <w:tcW w:w="1830" w:type="dxa"/>
            <w:gridSpan w:val="2"/>
            <w:shd w:val="clear" w:color="auto" w:fill="BFBFBF"/>
            <w:vAlign w:val="center"/>
          </w:tcPr>
          <w:p w:rsidR="003073A4" w:rsidRDefault="000545DD">
            <w:pPr>
              <w:widowControl/>
              <w:rPr>
                <w:sz w:val="16"/>
                <w:szCs w:val="16"/>
              </w:rPr>
            </w:pPr>
            <w:r>
              <w:rPr>
                <w:sz w:val="16"/>
                <w:szCs w:val="16"/>
              </w:rPr>
              <w:t>Receitas Industrial Líquida + Receitas Financeiras +</w:t>
            </w:r>
          </w:p>
          <w:p w:rsidR="003073A4" w:rsidRDefault="000545DD">
            <w:pPr>
              <w:widowControl/>
              <w:rPr>
                <w:sz w:val="16"/>
                <w:szCs w:val="16"/>
              </w:rPr>
            </w:pPr>
            <w:r>
              <w:rPr>
                <w:sz w:val="16"/>
                <w:szCs w:val="16"/>
              </w:rPr>
              <w:t>Receitas de Aluguéis +  Outras receitas - Estornos</w:t>
            </w:r>
          </w:p>
        </w:tc>
        <w:tc>
          <w:tcPr>
            <w:tcW w:w="1035" w:type="dxa"/>
            <w:shd w:val="clear" w:color="auto" w:fill="BFBFBF"/>
            <w:vAlign w:val="center"/>
          </w:tcPr>
          <w:p w:rsidR="003073A4" w:rsidRDefault="000545DD">
            <w:pPr>
              <w:widowControl/>
              <w:jc w:val="center"/>
              <w:rPr>
                <w:sz w:val="16"/>
                <w:szCs w:val="16"/>
              </w:rPr>
            </w:pPr>
            <w:r>
              <w:rPr>
                <w:sz w:val="16"/>
                <w:szCs w:val="16"/>
              </w:rPr>
              <w:t>R$ mil</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126,42</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104,32</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82,5%</w:t>
            </w:r>
          </w:p>
        </w:tc>
      </w:tr>
      <w:tr w:rsidR="003073A4">
        <w:trPr>
          <w:trHeight w:val="690"/>
        </w:trPr>
        <w:tc>
          <w:tcPr>
            <w:tcW w:w="1254" w:type="dxa"/>
            <w:vMerge/>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Plano ESG</w:t>
            </w:r>
          </w:p>
        </w:tc>
        <w:tc>
          <w:tcPr>
            <w:tcW w:w="1262" w:type="dxa"/>
            <w:shd w:val="clear" w:color="auto" w:fill="BFBFBF"/>
            <w:vAlign w:val="center"/>
          </w:tcPr>
          <w:p w:rsidR="003073A4" w:rsidRDefault="000545DD">
            <w:pPr>
              <w:widowControl/>
              <w:rPr>
                <w:sz w:val="16"/>
                <w:szCs w:val="16"/>
              </w:rPr>
            </w:pPr>
            <w:r>
              <w:rPr>
                <w:sz w:val="16"/>
                <w:szCs w:val="16"/>
              </w:rPr>
              <w:t>Promover o desenvolvimento econômico da região de influência</w:t>
            </w:r>
          </w:p>
        </w:tc>
        <w:tc>
          <w:tcPr>
            <w:tcW w:w="1830" w:type="dxa"/>
            <w:gridSpan w:val="2"/>
            <w:shd w:val="clear" w:color="auto" w:fill="BFBFBF"/>
            <w:vAlign w:val="center"/>
          </w:tcPr>
          <w:p w:rsidR="003073A4" w:rsidRDefault="000545DD">
            <w:pPr>
              <w:widowControl/>
              <w:rPr>
                <w:sz w:val="16"/>
                <w:szCs w:val="16"/>
              </w:rPr>
            </w:pPr>
            <w:r>
              <w:rPr>
                <w:sz w:val="16"/>
                <w:szCs w:val="16"/>
              </w:rPr>
              <w:t>Ações realizadas / Ações previstas</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sz w:val="16"/>
                <w:szCs w:val="16"/>
              </w:rPr>
            </w:pPr>
            <w:r>
              <w:rPr>
                <w:sz w:val="16"/>
                <w:szCs w:val="16"/>
              </w:rPr>
              <w:t>80</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78,8</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98,5%</w:t>
            </w:r>
          </w:p>
        </w:tc>
      </w:tr>
      <w:tr w:rsidR="003073A4">
        <w:trPr>
          <w:trHeight w:val="690"/>
        </w:trPr>
        <w:tc>
          <w:tcPr>
            <w:tcW w:w="1254" w:type="dxa"/>
            <w:vMerge/>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IDA</w:t>
            </w:r>
          </w:p>
        </w:tc>
        <w:tc>
          <w:tcPr>
            <w:tcW w:w="1262" w:type="dxa"/>
            <w:shd w:val="clear" w:color="auto" w:fill="BFBFBF"/>
            <w:vAlign w:val="center"/>
          </w:tcPr>
          <w:p w:rsidR="003073A4" w:rsidRDefault="000545DD">
            <w:pPr>
              <w:widowControl/>
              <w:rPr>
                <w:sz w:val="16"/>
                <w:szCs w:val="16"/>
              </w:rPr>
            </w:pPr>
            <w:r>
              <w:rPr>
                <w:sz w:val="16"/>
                <w:szCs w:val="16"/>
              </w:rPr>
              <w:t>Realizar a atividade portuária de forma ambientalmente sustentável</w:t>
            </w:r>
          </w:p>
        </w:tc>
        <w:tc>
          <w:tcPr>
            <w:tcW w:w="1830" w:type="dxa"/>
            <w:gridSpan w:val="2"/>
            <w:shd w:val="clear" w:color="auto" w:fill="BFBFBF"/>
            <w:vAlign w:val="center"/>
          </w:tcPr>
          <w:p w:rsidR="003073A4" w:rsidRDefault="000545DD">
            <w:pPr>
              <w:widowControl/>
              <w:rPr>
                <w:sz w:val="16"/>
                <w:szCs w:val="16"/>
              </w:rPr>
            </w:pPr>
            <w:r>
              <w:rPr>
                <w:sz w:val="16"/>
                <w:szCs w:val="16"/>
              </w:rPr>
              <w:t>Índice geral do IDA</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Anual</w:t>
            </w:r>
          </w:p>
        </w:tc>
        <w:tc>
          <w:tcPr>
            <w:tcW w:w="835" w:type="dxa"/>
            <w:shd w:val="clear" w:color="auto" w:fill="BFBFBF"/>
            <w:vAlign w:val="center"/>
          </w:tcPr>
          <w:p w:rsidR="003073A4" w:rsidRDefault="000545DD">
            <w:pPr>
              <w:widowControl/>
              <w:jc w:val="center"/>
              <w:rPr>
                <w:sz w:val="16"/>
                <w:szCs w:val="16"/>
              </w:rPr>
            </w:pPr>
            <w:r>
              <w:rPr>
                <w:sz w:val="16"/>
                <w:szCs w:val="16"/>
              </w:rPr>
              <w:t>90,47</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91,12</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100,7%</w:t>
            </w:r>
          </w:p>
        </w:tc>
      </w:tr>
      <w:tr w:rsidR="003073A4">
        <w:trPr>
          <w:trHeight w:val="690"/>
        </w:trPr>
        <w:tc>
          <w:tcPr>
            <w:tcW w:w="1254" w:type="dxa"/>
            <w:vMerge w:val="restart"/>
            <w:shd w:val="clear" w:color="auto" w:fill="A9D08E"/>
            <w:vAlign w:val="center"/>
          </w:tcPr>
          <w:p w:rsidR="003073A4" w:rsidRDefault="000545DD">
            <w:pPr>
              <w:widowControl/>
              <w:jc w:val="center"/>
              <w:rPr>
                <w:b/>
                <w:bCs/>
                <w:color w:val="FFFFFF"/>
                <w:sz w:val="16"/>
                <w:szCs w:val="16"/>
              </w:rPr>
            </w:pPr>
            <w:r>
              <w:rPr>
                <w:b/>
                <w:bCs/>
                <w:color w:val="FFFFFF"/>
                <w:sz w:val="16"/>
                <w:szCs w:val="16"/>
              </w:rPr>
              <w:t>Sociedade e Mercado</w:t>
            </w:r>
          </w:p>
        </w:tc>
        <w:tc>
          <w:tcPr>
            <w:tcW w:w="1144" w:type="dxa"/>
            <w:shd w:val="clear" w:color="auto" w:fill="BFBFBF"/>
            <w:vAlign w:val="center"/>
          </w:tcPr>
          <w:p w:rsidR="003073A4" w:rsidRDefault="000545DD">
            <w:pPr>
              <w:widowControl/>
              <w:rPr>
                <w:b/>
                <w:bCs/>
                <w:sz w:val="16"/>
                <w:szCs w:val="16"/>
              </w:rPr>
            </w:pPr>
            <w:r>
              <w:rPr>
                <w:b/>
                <w:bCs/>
                <w:sz w:val="16"/>
                <w:szCs w:val="16"/>
              </w:rPr>
              <w:t>Plano de Comunicação</w:t>
            </w:r>
          </w:p>
        </w:tc>
        <w:tc>
          <w:tcPr>
            <w:tcW w:w="1262" w:type="dxa"/>
            <w:shd w:val="clear" w:color="auto" w:fill="BFBFBF"/>
            <w:vAlign w:val="center"/>
          </w:tcPr>
          <w:p w:rsidR="003073A4" w:rsidRDefault="000545DD">
            <w:pPr>
              <w:widowControl/>
              <w:rPr>
                <w:sz w:val="16"/>
                <w:szCs w:val="16"/>
              </w:rPr>
            </w:pPr>
            <w:r>
              <w:rPr>
                <w:sz w:val="16"/>
                <w:szCs w:val="16"/>
              </w:rPr>
              <w:t>Promover a comunicação institucional transparente, ampla e eficaz</w:t>
            </w:r>
          </w:p>
        </w:tc>
        <w:tc>
          <w:tcPr>
            <w:tcW w:w="1830" w:type="dxa"/>
            <w:gridSpan w:val="2"/>
            <w:shd w:val="clear" w:color="auto" w:fill="BFBFBF"/>
            <w:vAlign w:val="center"/>
          </w:tcPr>
          <w:p w:rsidR="003073A4" w:rsidRDefault="000545DD">
            <w:pPr>
              <w:widowControl/>
              <w:rPr>
                <w:sz w:val="16"/>
                <w:szCs w:val="16"/>
              </w:rPr>
            </w:pPr>
            <w:r>
              <w:rPr>
                <w:sz w:val="16"/>
                <w:szCs w:val="16"/>
              </w:rPr>
              <w:t>Ações realizadas / Ações previstas</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sz w:val="16"/>
                <w:szCs w:val="16"/>
              </w:rPr>
            </w:pPr>
            <w:r>
              <w:rPr>
                <w:sz w:val="16"/>
                <w:szCs w:val="16"/>
              </w:rPr>
              <w:t>90</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85,6</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95,1%</w:t>
            </w:r>
          </w:p>
        </w:tc>
      </w:tr>
      <w:tr w:rsidR="003073A4">
        <w:trPr>
          <w:trHeight w:val="690"/>
        </w:trPr>
        <w:tc>
          <w:tcPr>
            <w:tcW w:w="1254" w:type="dxa"/>
            <w:vMerge/>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Satisfação dos usuários e stakeholders</w:t>
            </w:r>
          </w:p>
        </w:tc>
        <w:tc>
          <w:tcPr>
            <w:tcW w:w="1262" w:type="dxa"/>
            <w:shd w:val="clear" w:color="auto" w:fill="BFBFBF"/>
            <w:vAlign w:val="center"/>
          </w:tcPr>
          <w:p w:rsidR="003073A4" w:rsidRDefault="000545DD">
            <w:pPr>
              <w:widowControl/>
              <w:rPr>
                <w:sz w:val="16"/>
                <w:szCs w:val="16"/>
              </w:rPr>
            </w:pPr>
            <w:r>
              <w:rPr>
                <w:sz w:val="16"/>
                <w:szCs w:val="16"/>
              </w:rPr>
              <w:t>Obter excelência no relacionamento com as partes interessadas</w:t>
            </w:r>
          </w:p>
        </w:tc>
        <w:tc>
          <w:tcPr>
            <w:tcW w:w="1830" w:type="dxa"/>
            <w:gridSpan w:val="2"/>
            <w:shd w:val="clear" w:color="auto" w:fill="BFBFBF"/>
            <w:vAlign w:val="center"/>
          </w:tcPr>
          <w:p w:rsidR="003073A4" w:rsidRDefault="000545DD">
            <w:pPr>
              <w:widowControl/>
              <w:rPr>
                <w:sz w:val="16"/>
                <w:szCs w:val="16"/>
              </w:rPr>
            </w:pPr>
            <w:r>
              <w:rPr>
                <w:sz w:val="16"/>
                <w:szCs w:val="16"/>
              </w:rPr>
              <w:t>Nível de satisfação dos clientes do porto</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Anual</w:t>
            </w:r>
          </w:p>
        </w:tc>
        <w:tc>
          <w:tcPr>
            <w:tcW w:w="835" w:type="dxa"/>
            <w:shd w:val="clear" w:color="auto" w:fill="BFBFBF"/>
            <w:vAlign w:val="center"/>
          </w:tcPr>
          <w:p w:rsidR="003073A4" w:rsidRDefault="000545DD">
            <w:pPr>
              <w:widowControl/>
              <w:jc w:val="center"/>
              <w:rPr>
                <w:sz w:val="16"/>
                <w:szCs w:val="16"/>
              </w:rPr>
            </w:pPr>
            <w:r>
              <w:rPr>
                <w:sz w:val="16"/>
                <w:szCs w:val="16"/>
              </w:rPr>
              <w:t>84,42</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84,3</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99,9%</w:t>
            </w:r>
          </w:p>
        </w:tc>
      </w:tr>
      <w:tr w:rsidR="003073A4">
        <w:trPr>
          <w:trHeight w:val="915"/>
        </w:trPr>
        <w:tc>
          <w:tcPr>
            <w:tcW w:w="1254" w:type="dxa"/>
            <w:vMerge/>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Áreas Exploradas</w:t>
            </w:r>
          </w:p>
        </w:tc>
        <w:tc>
          <w:tcPr>
            <w:tcW w:w="1262" w:type="dxa"/>
            <w:shd w:val="clear" w:color="auto" w:fill="BFBFBF"/>
            <w:vAlign w:val="center"/>
          </w:tcPr>
          <w:p w:rsidR="003073A4" w:rsidRDefault="000545DD">
            <w:pPr>
              <w:widowControl/>
              <w:rPr>
                <w:sz w:val="16"/>
                <w:szCs w:val="16"/>
              </w:rPr>
            </w:pPr>
            <w:r>
              <w:rPr>
                <w:sz w:val="16"/>
                <w:szCs w:val="16"/>
              </w:rPr>
              <w:t>Potencializar o uso dos ativos do Porto por meio de novas alternativas de negócio</w:t>
            </w:r>
          </w:p>
        </w:tc>
        <w:tc>
          <w:tcPr>
            <w:tcW w:w="1830" w:type="dxa"/>
            <w:gridSpan w:val="2"/>
            <w:shd w:val="clear" w:color="auto" w:fill="BFBFBF"/>
            <w:vAlign w:val="center"/>
          </w:tcPr>
          <w:p w:rsidR="003073A4" w:rsidRDefault="000545DD">
            <w:pPr>
              <w:widowControl/>
              <w:rPr>
                <w:sz w:val="16"/>
                <w:szCs w:val="16"/>
              </w:rPr>
            </w:pPr>
            <w:r>
              <w:rPr>
                <w:sz w:val="16"/>
                <w:szCs w:val="16"/>
              </w:rPr>
              <w:t>Áreas arrendadas ou cedidas / Áreas total disponível para cessão ou arrendamento do PDZ X 100</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sz w:val="16"/>
                <w:szCs w:val="16"/>
              </w:rPr>
            </w:pPr>
            <w:r>
              <w:rPr>
                <w:sz w:val="16"/>
                <w:szCs w:val="16"/>
              </w:rPr>
              <w:t>51,2</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37,7</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73,6%</w:t>
            </w:r>
          </w:p>
        </w:tc>
      </w:tr>
      <w:tr w:rsidR="003073A4">
        <w:trPr>
          <w:trHeight w:val="915"/>
        </w:trPr>
        <w:tc>
          <w:tcPr>
            <w:tcW w:w="1254" w:type="dxa"/>
            <w:vMerge/>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Movimentação de cargas</w:t>
            </w:r>
          </w:p>
        </w:tc>
        <w:tc>
          <w:tcPr>
            <w:tcW w:w="1262" w:type="dxa"/>
            <w:shd w:val="clear" w:color="auto" w:fill="BFBFBF"/>
            <w:vAlign w:val="center"/>
          </w:tcPr>
          <w:p w:rsidR="003073A4" w:rsidRDefault="000545DD">
            <w:pPr>
              <w:widowControl/>
              <w:rPr>
                <w:sz w:val="16"/>
                <w:szCs w:val="16"/>
              </w:rPr>
            </w:pPr>
            <w:r>
              <w:rPr>
                <w:sz w:val="16"/>
                <w:szCs w:val="16"/>
              </w:rPr>
              <w:t>Potencializar o uso dos ativos do Porto por meio de novas alternativas de negócio</w:t>
            </w:r>
          </w:p>
        </w:tc>
        <w:tc>
          <w:tcPr>
            <w:tcW w:w="1830" w:type="dxa"/>
            <w:gridSpan w:val="2"/>
            <w:shd w:val="clear" w:color="auto" w:fill="BFBFBF"/>
            <w:vAlign w:val="center"/>
          </w:tcPr>
          <w:p w:rsidR="003073A4" w:rsidRDefault="000545DD">
            <w:pPr>
              <w:widowControl/>
              <w:rPr>
                <w:sz w:val="16"/>
                <w:szCs w:val="16"/>
              </w:rPr>
            </w:pPr>
            <w:r>
              <w:rPr>
                <w:sz w:val="16"/>
                <w:szCs w:val="16"/>
              </w:rPr>
              <w:t>Total de carga movimentada no período</w:t>
            </w:r>
          </w:p>
        </w:tc>
        <w:tc>
          <w:tcPr>
            <w:tcW w:w="1035" w:type="dxa"/>
            <w:shd w:val="clear" w:color="auto" w:fill="BFBFBF"/>
            <w:vAlign w:val="center"/>
          </w:tcPr>
          <w:p w:rsidR="003073A4" w:rsidRDefault="000545DD">
            <w:pPr>
              <w:widowControl/>
              <w:jc w:val="center"/>
              <w:rPr>
                <w:sz w:val="16"/>
                <w:szCs w:val="16"/>
              </w:rPr>
            </w:pPr>
            <w:r>
              <w:rPr>
                <w:sz w:val="16"/>
                <w:szCs w:val="16"/>
              </w:rPr>
              <w:t>Mil ton.</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5.094</w:t>
            </w:r>
          </w:p>
        </w:tc>
        <w:tc>
          <w:tcPr>
            <w:tcW w:w="1043" w:type="dxa"/>
            <w:shd w:val="clear" w:color="auto" w:fill="BFBFBF"/>
            <w:vAlign w:val="center"/>
          </w:tcPr>
          <w:p w:rsidR="003073A4" w:rsidRDefault="003073A4">
            <w:pPr>
              <w:widowControl/>
              <w:jc w:val="center"/>
              <w:rPr>
                <w:sz w:val="16"/>
                <w:szCs w:val="16"/>
              </w:rPr>
            </w:pPr>
          </w:p>
          <w:p w:rsidR="003073A4" w:rsidRDefault="000545DD" w:rsidP="0074715F">
            <w:pPr>
              <w:widowControl/>
              <w:jc w:val="center"/>
              <w:rPr>
                <w:sz w:val="16"/>
                <w:szCs w:val="16"/>
              </w:rPr>
            </w:pPr>
            <w:r>
              <w:rPr>
                <w:sz w:val="16"/>
                <w:szCs w:val="16"/>
              </w:rPr>
              <w:t>4.</w:t>
            </w:r>
            <w:r w:rsidR="0074715F">
              <w:rPr>
                <w:sz w:val="16"/>
                <w:szCs w:val="16"/>
              </w:rPr>
              <w:t>958</w:t>
            </w:r>
          </w:p>
        </w:tc>
        <w:tc>
          <w:tcPr>
            <w:tcW w:w="845" w:type="dxa"/>
            <w:shd w:val="clear" w:color="auto" w:fill="BFBFBF"/>
            <w:vAlign w:val="center"/>
          </w:tcPr>
          <w:p w:rsidR="003073A4" w:rsidRDefault="003073A4">
            <w:pPr>
              <w:widowControl/>
              <w:jc w:val="center"/>
              <w:rPr>
                <w:sz w:val="16"/>
                <w:szCs w:val="16"/>
              </w:rPr>
            </w:pPr>
          </w:p>
          <w:p w:rsidR="003073A4" w:rsidRDefault="000545DD" w:rsidP="005130D3">
            <w:pPr>
              <w:widowControl/>
              <w:jc w:val="center"/>
              <w:rPr>
                <w:sz w:val="16"/>
                <w:szCs w:val="16"/>
              </w:rPr>
            </w:pPr>
            <w:r>
              <w:rPr>
                <w:sz w:val="16"/>
                <w:szCs w:val="16"/>
              </w:rPr>
              <w:t>9</w:t>
            </w:r>
            <w:r w:rsidR="005130D3">
              <w:rPr>
                <w:sz w:val="16"/>
                <w:szCs w:val="16"/>
              </w:rPr>
              <w:t>7</w:t>
            </w:r>
            <w:r>
              <w:rPr>
                <w:sz w:val="16"/>
                <w:szCs w:val="16"/>
              </w:rPr>
              <w:t>,</w:t>
            </w:r>
            <w:r w:rsidR="005130D3">
              <w:rPr>
                <w:sz w:val="16"/>
                <w:szCs w:val="16"/>
              </w:rPr>
              <w:t>3</w:t>
            </w:r>
            <w:r>
              <w:rPr>
                <w:sz w:val="16"/>
                <w:szCs w:val="16"/>
              </w:rPr>
              <w:t>%</w:t>
            </w:r>
          </w:p>
        </w:tc>
      </w:tr>
      <w:tr w:rsidR="003073A4">
        <w:trPr>
          <w:trHeight w:val="1140"/>
        </w:trPr>
        <w:tc>
          <w:tcPr>
            <w:tcW w:w="1254" w:type="dxa"/>
            <w:vMerge w:val="restart"/>
            <w:shd w:val="clear" w:color="auto" w:fill="00B050"/>
            <w:vAlign w:val="center"/>
          </w:tcPr>
          <w:p w:rsidR="003073A4" w:rsidRDefault="000545DD">
            <w:pPr>
              <w:widowControl/>
              <w:jc w:val="center"/>
              <w:rPr>
                <w:b/>
                <w:bCs/>
                <w:color w:val="FFFFFF"/>
                <w:sz w:val="16"/>
                <w:szCs w:val="16"/>
              </w:rPr>
            </w:pPr>
            <w:r>
              <w:rPr>
                <w:b/>
                <w:bCs/>
                <w:color w:val="FFFFFF"/>
                <w:sz w:val="16"/>
                <w:szCs w:val="16"/>
              </w:rPr>
              <w:t>Processos</w:t>
            </w:r>
          </w:p>
        </w:tc>
        <w:tc>
          <w:tcPr>
            <w:tcW w:w="1144" w:type="dxa"/>
            <w:shd w:val="clear" w:color="auto" w:fill="BFBFBF"/>
            <w:vAlign w:val="center"/>
          </w:tcPr>
          <w:p w:rsidR="003073A4" w:rsidRDefault="000545DD">
            <w:pPr>
              <w:widowControl/>
              <w:rPr>
                <w:b/>
                <w:bCs/>
                <w:sz w:val="16"/>
                <w:szCs w:val="16"/>
              </w:rPr>
            </w:pPr>
            <w:r>
              <w:rPr>
                <w:b/>
                <w:bCs/>
                <w:sz w:val="16"/>
                <w:szCs w:val="16"/>
              </w:rPr>
              <w:t>IG SEST</w:t>
            </w:r>
          </w:p>
        </w:tc>
        <w:tc>
          <w:tcPr>
            <w:tcW w:w="1262" w:type="dxa"/>
            <w:shd w:val="clear" w:color="auto" w:fill="BFBFBF"/>
            <w:vAlign w:val="center"/>
          </w:tcPr>
          <w:p w:rsidR="003073A4" w:rsidRDefault="000545DD">
            <w:pPr>
              <w:widowControl/>
              <w:rPr>
                <w:sz w:val="16"/>
                <w:szCs w:val="16"/>
              </w:rPr>
            </w:pPr>
            <w:r>
              <w:rPr>
                <w:sz w:val="16"/>
                <w:szCs w:val="16"/>
              </w:rPr>
              <w:t>Aprimorar e padronizar os processos e os instrumentos de governança, controle e integridade</w:t>
            </w:r>
          </w:p>
        </w:tc>
        <w:tc>
          <w:tcPr>
            <w:tcW w:w="1830" w:type="dxa"/>
            <w:gridSpan w:val="2"/>
            <w:shd w:val="clear" w:color="auto" w:fill="BFBFBF"/>
            <w:vAlign w:val="center"/>
          </w:tcPr>
          <w:p w:rsidR="003073A4" w:rsidRDefault="000545DD">
            <w:pPr>
              <w:widowControl/>
              <w:rPr>
                <w:sz w:val="16"/>
                <w:szCs w:val="16"/>
              </w:rPr>
            </w:pPr>
            <w:r>
              <w:rPr>
                <w:sz w:val="16"/>
                <w:szCs w:val="16"/>
              </w:rPr>
              <w:t>Índice geral do IG-SEST</w:t>
            </w:r>
          </w:p>
        </w:tc>
        <w:tc>
          <w:tcPr>
            <w:tcW w:w="1035" w:type="dxa"/>
            <w:shd w:val="clear" w:color="auto" w:fill="BFBFBF"/>
            <w:vAlign w:val="center"/>
          </w:tcPr>
          <w:p w:rsidR="003073A4" w:rsidRDefault="000545DD">
            <w:pPr>
              <w:widowControl/>
              <w:jc w:val="center"/>
              <w:rPr>
                <w:sz w:val="16"/>
                <w:szCs w:val="16"/>
              </w:rPr>
            </w:pPr>
            <w:r>
              <w:rPr>
                <w:sz w:val="16"/>
                <w:szCs w:val="16"/>
              </w:rPr>
              <w:t>Un.</w:t>
            </w:r>
          </w:p>
        </w:tc>
        <w:tc>
          <w:tcPr>
            <w:tcW w:w="817" w:type="dxa"/>
            <w:shd w:val="clear" w:color="auto" w:fill="BFBFBF"/>
            <w:vAlign w:val="center"/>
          </w:tcPr>
          <w:p w:rsidR="003073A4" w:rsidRDefault="000545DD">
            <w:pPr>
              <w:widowControl/>
              <w:jc w:val="center"/>
              <w:rPr>
                <w:sz w:val="16"/>
                <w:szCs w:val="16"/>
              </w:rPr>
            </w:pPr>
            <w:r>
              <w:rPr>
                <w:sz w:val="16"/>
                <w:szCs w:val="16"/>
              </w:rPr>
              <w:t>Anual</w:t>
            </w:r>
          </w:p>
        </w:tc>
        <w:tc>
          <w:tcPr>
            <w:tcW w:w="835" w:type="dxa"/>
            <w:shd w:val="clear" w:color="auto" w:fill="BFBFBF"/>
            <w:vAlign w:val="center"/>
          </w:tcPr>
          <w:p w:rsidR="003073A4" w:rsidRDefault="000545DD">
            <w:pPr>
              <w:widowControl/>
              <w:jc w:val="center"/>
              <w:rPr>
                <w:sz w:val="16"/>
                <w:szCs w:val="16"/>
              </w:rPr>
            </w:pPr>
            <w:r>
              <w:rPr>
                <w:sz w:val="16"/>
                <w:szCs w:val="16"/>
              </w:rPr>
              <w:t>8,90</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 *</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r>
      <w:tr w:rsidR="003073A4">
        <w:trPr>
          <w:trHeight w:val="690"/>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IGAP</w:t>
            </w:r>
          </w:p>
        </w:tc>
        <w:tc>
          <w:tcPr>
            <w:tcW w:w="1262" w:type="dxa"/>
            <w:shd w:val="clear" w:color="auto" w:fill="BFBFBF"/>
            <w:vAlign w:val="center"/>
          </w:tcPr>
          <w:p w:rsidR="003073A4" w:rsidRDefault="000545DD">
            <w:pPr>
              <w:widowControl/>
              <w:rPr>
                <w:sz w:val="16"/>
                <w:szCs w:val="16"/>
              </w:rPr>
            </w:pPr>
            <w:r>
              <w:rPr>
                <w:sz w:val="16"/>
                <w:szCs w:val="16"/>
              </w:rPr>
              <w:t>Aprimorar e padronizar os processos e os instrumentos de governança, controle e integridade</w:t>
            </w:r>
          </w:p>
        </w:tc>
        <w:tc>
          <w:tcPr>
            <w:tcW w:w="1830" w:type="dxa"/>
            <w:gridSpan w:val="2"/>
            <w:shd w:val="clear" w:color="auto" w:fill="BFBFBF"/>
            <w:vAlign w:val="center"/>
          </w:tcPr>
          <w:p w:rsidR="003073A4" w:rsidRDefault="000545DD">
            <w:pPr>
              <w:widowControl/>
              <w:rPr>
                <w:sz w:val="16"/>
                <w:szCs w:val="16"/>
              </w:rPr>
            </w:pPr>
            <w:r>
              <w:rPr>
                <w:sz w:val="16"/>
                <w:szCs w:val="16"/>
              </w:rPr>
              <w:t>Índice geral do IGAP</w:t>
            </w:r>
          </w:p>
        </w:tc>
        <w:tc>
          <w:tcPr>
            <w:tcW w:w="1035" w:type="dxa"/>
            <w:shd w:val="clear" w:color="auto" w:fill="BFBFBF"/>
            <w:vAlign w:val="center"/>
          </w:tcPr>
          <w:p w:rsidR="003073A4" w:rsidRDefault="000545DD">
            <w:pPr>
              <w:widowControl/>
              <w:jc w:val="center"/>
              <w:rPr>
                <w:sz w:val="16"/>
                <w:szCs w:val="16"/>
              </w:rPr>
            </w:pPr>
            <w:r>
              <w:rPr>
                <w:sz w:val="16"/>
                <w:szCs w:val="16"/>
              </w:rPr>
              <w:t>Un.</w:t>
            </w:r>
          </w:p>
        </w:tc>
        <w:tc>
          <w:tcPr>
            <w:tcW w:w="817" w:type="dxa"/>
            <w:shd w:val="clear" w:color="auto" w:fill="BFBFBF"/>
            <w:vAlign w:val="center"/>
          </w:tcPr>
          <w:p w:rsidR="003073A4" w:rsidRDefault="000545DD">
            <w:pPr>
              <w:widowControl/>
              <w:jc w:val="center"/>
              <w:rPr>
                <w:sz w:val="16"/>
                <w:szCs w:val="16"/>
              </w:rPr>
            </w:pPr>
            <w:r>
              <w:rPr>
                <w:sz w:val="16"/>
                <w:szCs w:val="16"/>
              </w:rPr>
              <w:t>Anual</w:t>
            </w:r>
          </w:p>
        </w:tc>
        <w:tc>
          <w:tcPr>
            <w:tcW w:w="835" w:type="dxa"/>
            <w:shd w:val="clear" w:color="auto" w:fill="BFBFBF"/>
            <w:vAlign w:val="center"/>
          </w:tcPr>
          <w:p w:rsidR="003073A4" w:rsidRDefault="000545DD">
            <w:pPr>
              <w:widowControl/>
              <w:jc w:val="center"/>
              <w:rPr>
                <w:sz w:val="16"/>
                <w:szCs w:val="16"/>
              </w:rPr>
            </w:pPr>
            <w:r>
              <w:rPr>
                <w:sz w:val="16"/>
                <w:szCs w:val="16"/>
              </w:rPr>
              <w:t>7,2</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8,3</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115,28%</w:t>
            </w:r>
          </w:p>
        </w:tc>
      </w:tr>
      <w:tr w:rsidR="003073A4">
        <w:trPr>
          <w:trHeight w:val="690"/>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Ações de Integridade</w:t>
            </w:r>
          </w:p>
        </w:tc>
        <w:tc>
          <w:tcPr>
            <w:tcW w:w="1262" w:type="dxa"/>
            <w:shd w:val="clear" w:color="auto" w:fill="BFBFBF"/>
            <w:vAlign w:val="center"/>
          </w:tcPr>
          <w:p w:rsidR="003073A4" w:rsidRDefault="000545DD">
            <w:pPr>
              <w:widowControl/>
              <w:rPr>
                <w:sz w:val="16"/>
                <w:szCs w:val="16"/>
              </w:rPr>
            </w:pPr>
            <w:r>
              <w:rPr>
                <w:sz w:val="16"/>
                <w:szCs w:val="16"/>
              </w:rPr>
              <w:t xml:space="preserve">Aprimorar e padronizar os processos e os </w:t>
            </w:r>
            <w:r>
              <w:rPr>
                <w:sz w:val="16"/>
                <w:szCs w:val="16"/>
              </w:rPr>
              <w:lastRenderedPageBreak/>
              <w:t>instrumentos de governança, controle e integridade</w:t>
            </w:r>
          </w:p>
        </w:tc>
        <w:tc>
          <w:tcPr>
            <w:tcW w:w="1830" w:type="dxa"/>
            <w:gridSpan w:val="2"/>
            <w:shd w:val="clear" w:color="auto" w:fill="BFBFBF"/>
            <w:vAlign w:val="center"/>
          </w:tcPr>
          <w:p w:rsidR="003073A4" w:rsidRDefault="000545DD">
            <w:pPr>
              <w:widowControl/>
              <w:rPr>
                <w:sz w:val="16"/>
                <w:szCs w:val="16"/>
              </w:rPr>
            </w:pPr>
            <w:r>
              <w:rPr>
                <w:sz w:val="16"/>
                <w:szCs w:val="16"/>
              </w:rPr>
              <w:lastRenderedPageBreak/>
              <w:t>Ações realizadas / Ações previstas</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3073A4">
            <w:pPr>
              <w:widowControl/>
              <w:jc w:val="center"/>
              <w:rPr>
                <w:sz w:val="16"/>
                <w:szCs w:val="16"/>
              </w:rPr>
            </w:pPr>
          </w:p>
          <w:p w:rsidR="003073A4" w:rsidRDefault="000545DD">
            <w:pPr>
              <w:widowControl/>
              <w:jc w:val="center"/>
              <w:rPr>
                <w:sz w:val="16"/>
                <w:szCs w:val="16"/>
              </w:rPr>
            </w:pPr>
            <w:r>
              <w:rPr>
                <w:sz w:val="16"/>
                <w:szCs w:val="16"/>
              </w:rPr>
              <w:t>90</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86,4</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96%</w:t>
            </w:r>
          </w:p>
        </w:tc>
      </w:tr>
      <w:tr w:rsidR="003073A4">
        <w:trPr>
          <w:trHeight w:val="690"/>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Plano de Segurança</w:t>
            </w:r>
          </w:p>
        </w:tc>
        <w:tc>
          <w:tcPr>
            <w:tcW w:w="1262" w:type="dxa"/>
            <w:shd w:val="clear" w:color="auto" w:fill="BFBFBF"/>
            <w:vAlign w:val="center"/>
          </w:tcPr>
          <w:p w:rsidR="003073A4" w:rsidRDefault="000545DD">
            <w:pPr>
              <w:widowControl/>
              <w:rPr>
                <w:sz w:val="16"/>
                <w:szCs w:val="16"/>
              </w:rPr>
            </w:pPr>
            <w:r>
              <w:rPr>
                <w:sz w:val="16"/>
                <w:szCs w:val="16"/>
              </w:rPr>
              <w:t>Ser eficiente na gestão da segurança portuária</w:t>
            </w:r>
          </w:p>
        </w:tc>
        <w:tc>
          <w:tcPr>
            <w:tcW w:w="1830" w:type="dxa"/>
            <w:gridSpan w:val="2"/>
            <w:shd w:val="clear" w:color="auto" w:fill="BFBFBF"/>
            <w:vAlign w:val="center"/>
          </w:tcPr>
          <w:p w:rsidR="003073A4" w:rsidRDefault="000545DD">
            <w:pPr>
              <w:widowControl/>
              <w:rPr>
                <w:sz w:val="16"/>
                <w:szCs w:val="16"/>
              </w:rPr>
            </w:pPr>
            <w:r>
              <w:rPr>
                <w:sz w:val="16"/>
                <w:szCs w:val="16"/>
              </w:rPr>
              <w:t>Ações realizadas / Ações previstas</w:t>
            </w:r>
          </w:p>
          <w:p w:rsidR="003073A4" w:rsidRDefault="003073A4">
            <w:pPr>
              <w:widowControl/>
              <w:rPr>
                <w:sz w:val="16"/>
                <w:szCs w:val="16"/>
              </w:rPr>
            </w:pP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sz w:val="16"/>
                <w:szCs w:val="16"/>
              </w:rPr>
            </w:pPr>
            <w:r>
              <w:rPr>
                <w:sz w:val="16"/>
                <w:szCs w:val="16"/>
              </w:rPr>
              <w:t>80</w:t>
            </w:r>
          </w:p>
        </w:tc>
        <w:tc>
          <w:tcPr>
            <w:tcW w:w="1043"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61,1</w:t>
            </w:r>
          </w:p>
        </w:tc>
        <w:tc>
          <w:tcPr>
            <w:tcW w:w="845" w:type="dxa"/>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76,38%</w:t>
            </w:r>
          </w:p>
        </w:tc>
      </w:tr>
      <w:tr w:rsidR="003073A4">
        <w:trPr>
          <w:trHeight w:val="46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 xml:space="preserve">Execução Orçamentária </w:t>
            </w:r>
          </w:p>
        </w:tc>
        <w:tc>
          <w:tcPr>
            <w:tcW w:w="1262" w:type="dxa"/>
            <w:shd w:val="clear" w:color="auto" w:fill="BFBFBF"/>
            <w:vAlign w:val="center"/>
          </w:tcPr>
          <w:p w:rsidR="003073A4" w:rsidRDefault="000545DD">
            <w:pPr>
              <w:widowControl/>
              <w:rPr>
                <w:sz w:val="16"/>
                <w:szCs w:val="16"/>
              </w:rPr>
            </w:pPr>
            <w:r>
              <w:rPr>
                <w:sz w:val="16"/>
                <w:szCs w:val="16"/>
              </w:rPr>
              <w:t>Potencializar a produtividade operacional e modernizar a infraestrutura portuária</w:t>
            </w:r>
          </w:p>
        </w:tc>
        <w:tc>
          <w:tcPr>
            <w:tcW w:w="1830" w:type="dxa"/>
            <w:gridSpan w:val="2"/>
            <w:shd w:val="clear" w:color="auto" w:fill="BFBFBF"/>
            <w:vAlign w:val="center"/>
          </w:tcPr>
          <w:p w:rsidR="003073A4" w:rsidRDefault="000545DD">
            <w:pPr>
              <w:widowControl/>
              <w:rPr>
                <w:sz w:val="16"/>
                <w:szCs w:val="16"/>
              </w:rPr>
            </w:pPr>
            <w:r>
              <w:rPr>
                <w:sz w:val="16"/>
                <w:szCs w:val="16"/>
              </w:rPr>
              <w:t>Execução do orçamento de investimento no período / Orçamento investimento aprovado no ano x 100</w:t>
            </w: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color w:val="FF0000"/>
                <w:sz w:val="16"/>
                <w:szCs w:val="16"/>
              </w:rPr>
            </w:pPr>
            <w:r>
              <w:rPr>
                <w:sz w:val="16"/>
                <w:szCs w:val="16"/>
              </w:rPr>
              <w:t>30</w:t>
            </w:r>
          </w:p>
        </w:tc>
        <w:tc>
          <w:tcPr>
            <w:tcW w:w="1043" w:type="dxa"/>
            <w:shd w:val="clear" w:color="auto" w:fill="BFBFBF"/>
            <w:vAlign w:val="center"/>
          </w:tcPr>
          <w:p w:rsidR="003073A4" w:rsidRDefault="003073A4">
            <w:pPr>
              <w:widowControl/>
              <w:jc w:val="center"/>
              <w:rPr>
                <w:sz w:val="16"/>
                <w:szCs w:val="16"/>
              </w:rPr>
            </w:pPr>
          </w:p>
          <w:p w:rsidR="003073A4" w:rsidRDefault="000545DD">
            <w:pPr>
              <w:widowControl/>
              <w:jc w:val="center"/>
              <w:rPr>
                <w:sz w:val="16"/>
                <w:szCs w:val="16"/>
              </w:rPr>
            </w:pPr>
            <w:r>
              <w:rPr>
                <w:sz w:val="16"/>
                <w:szCs w:val="16"/>
              </w:rPr>
              <w:t>37,88</w:t>
            </w:r>
          </w:p>
        </w:tc>
        <w:tc>
          <w:tcPr>
            <w:tcW w:w="845" w:type="dxa"/>
            <w:shd w:val="clear" w:color="auto" w:fill="BFBFBF"/>
            <w:vAlign w:val="center"/>
          </w:tcPr>
          <w:p w:rsidR="003073A4" w:rsidRDefault="003073A4">
            <w:pPr>
              <w:widowControl/>
              <w:jc w:val="center"/>
              <w:rPr>
                <w:sz w:val="16"/>
                <w:szCs w:val="16"/>
              </w:rPr>
            </w:pPr>
          </w:p>
          <w:p w:rsidR="003073A4" w:rsidRDefault="000545DD">
            <w:pPr>
              <w:widowControl/>
              <w:jc w:val="center"/>
              <w:rPr>
                <w:sz w:val="16"/>
                <w:szCs w:val="16"/>
              </w:rPr>
            </w:pPr>
            <w:r>
              <w:rPr>
                <w:sz w:val="16"/>
                <w:szCs w:val="16"/>
              </w:rPr>
              <w:t>126,27%</w:t>
            </w:r>
          </w:p>
        </w:tc>
      </w:tr>
      <w:tr w:rsidR="003073A4">
        <w:trPr>
          <w:trHeight w:val="46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Plano de ações de TI</w:t>
            </w:r>
          </w:p>
        </w:tc>
        <w:tc>
          <w:tcPr>
            <w:tcW w:w="1262" w:type="dxa"/>
            <w:shd w:val="clear" w:color="auto" w:fill="BFBFBF"/>
            <w:vAlign w:val="center"/>
          </w:tcPr>
          <w:p w:rsidR="003073A4" w:rsidRDefault="000545DD">
            <w:pPr>
              <w:widowControl/>
              <w:rPr>
                <w:sz w:val="16"/>
                <w:szCs w:val="16"/>
              </w:rPr>
            </w:pPr>
            <w:r>
              <w:rPr>
                <w:sz w:val="16"/>
                <w:szCs w:val="16"/>
              </w:rPr>
              <w:t>Promover a gestão dos processos e ativos de TIC</w:t>
            </w:r>
          </w:p>
        </w:tc>
        <w:tc>
          <w:tcPr>
            <w:tcW w:w="1830" w:type="dxa"/>
            <w:gridSpan w:val="2"/>
            <w:shd w:val="clear" w:color="auto" w:fill="BFBFBF"/>
            <w:vAlign w:val="center"/>
          </w:tcPr>
          <w:p w:rsidR="003073A4" w:rsidRDefault="000545DD">
            <w:pPr>
              <w:widowControl/>
              <w:rPr>
                <w:sz w:val="16"/>
                <w:szCs w:val="16"/>
              </w:rPr>
            </w:pPr>
            <w:r>
              <w:rPr>
                <w:sz w:val="16"/>
                <w:szCs w:val="16"/>
              </w:rPr>
              <w:t>Ações realizadas / Ações previstas</w:t>
            </w:r>
          </w:p>
          <w:p w:rsidR="003073A4" w:rsidRDefault="003073A4">
            <w:pPr>
              <w:widowControl/>
              <w:rPr>
                <w:sz w:val="16"/>
                <w:szCs w:val="16"/>
              </w:rPr>
            </w:pP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color w:val="FF0000"/>
                <w:sz w:val="16"/>
                <w:szCs w:val="16"/>
              </w:rPr>
            </w:pPr>
            <w:r>
              <w:rPr>
                <w:sz w:val="16"/>
                <w:szCs w:val="16"/>
              </w:rPr>
              <w:t>80</w:t>
            </w:r>
          </w:p>
        </w:tc>
        <w:tc>
          <w:tcPr>
            <w:tcW w:w="1043" w:type="dxa"/>
            <w:shd w:val="clear" w:color="auto" w:fill="BFBFBF"/>
            <w:vAlign w:val="center"/>
          </w:tcPr>
          <w:p w:rsidR="003073A4" w:rsidRDefault="003073A4">
            <w:pPr>
              <w:widowControl/>
              <w:jc w:val="center"/>
              <w:rPr>
                <w:sz w:val="16"/>
                <w:szCs w:val="16"/>
              </w:rPr>
            </w:pPr>
          </w:p>
          <w:p w:rsidR="003073A4" w:rsidRDefault="000545DD">
            <w:pPr>
              <w:widowControl/>
              <w:jc w:val="center"/>
              <w:rPr>
                <w:sz w:val="16"/>
                <w:szCs w:val="16"/>
              </w:rPr>
            </w:pPr>
            <w:r>
              <w:rPr>
                <w:sz w:val="16"/>
                <w:szCs w:val="16"/>
              </w:rPr>
              <w:t>68,7</w:t>
            </w:r>
          </w:p>
        </w:tc>
        <w:tc>
          <w:tcPr>
            <w:tcW w:w="845" w:type="dxa"/>
            <w:shd w:val="clear" w:color="auto" w:fill="BFBFBF"/>
            <w:vAlign w:val="center"/>
          </w:tcPr>
          <w:p w:rsidR="003073A4" w:rsidRDefault="003073A4">
            <w:pPr>
              <w:widowControl/>
              <w:jc w:val="center"/>
              <w:rPr>
                <w:sz w:val="16"/>
                <w:szCs w:val="16"/>
              </w:rPr>
            </w:pPr>
          </w:p>
          <w:p w:rsidR="003073A4" w:rsidRDefault="000545DD">
            <w:pPr>
              <w:widowControl/>
              <w:jc w:val="center"/>
              <w:rPr>
                <w:sz w:val="16"/>
                <w:szCs w:val="16"/>
              </w:rPr>
            </w:pPr>
            <w:r>
              <w:rPr>
                <w:sz w:val="16"/>
                <w:szCs w:val="16"/>
              </w:rPr>
              <w:t>85,88%</w:t>
            </w:r>
          </w:p>
        </w:tc>
      </w:tr>
      <w:tr w:rsidR="003073A4">
        <w:trPr>
          <w:trHeight w:val="31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vMerge w:val="restart"/>
            <w:shd w:val="clear" w:color="auto" w:fill="BFBFBF"/>
            <w:vAlign w:val="center"/>
          </w:tcPr>
          <w:p w:rsidR="003073A4" w:rsidRDefault="000545DD">
            <w:pPr>
              <w:widowControl/>
              <w:rPr>
                <w:b/>
                <w:bCs/>
                <w:sz w:val="16"/>
                <w:szCs w:val="16"/>
              </w:rPr>
            </w:pPr>
            <w:r>
              <w:rPr>
                <w:b/>
                <w:bCs/>
                <w:sz w:val="16"/>
                <w:szCs w:val="16"/>
              </w:rPr>
              <w:t xml:space="preserve">Prancha média (líquida) </w:t>
            </w:r>
          </w:p>
        </w:tc>
        <w:tc>
          <w:tcPr>
            <w:tcW w:w="1262" w:type="dxa"/>
            <w:vMerge w:val="restart"/>
            <w:shd w:val="clear" w:color="auto" w:fill="BFBFBF"/>
            <w:vAlign w:val="center"/>
          </w:tcPr>
          <w:p w:rsidR="003073A4" w:rsidRDefault="000545DD">
            <w:pPr>
              <w:widowControl/>
              <w:rPr>
                <w:sz w:val="16"/>
                <w:szCs w:val="16"/>
              </w:rPr>
            </w:pPr>
            <w:r>
              <w:rPr>
                <w:sz w:val="16"/>
                <w:szCs w:val="16"/>
              </w:rPr>
              <w:t>Potencializar a produtividade operacional e modernizar a infraestrutura portuária</w:t>
            </w:r>
          </w:p>
        </w:tc>
        <w:tc>
          <w:tcPr>
            <w:tcW w:w="1045" w:type="dxa"/>
            <w:vMerge w:val="restart"/>
            <w:shd w:val="clear" w:color="auto" w:fill="BFBFBF"/>
            <w:vAlign w:val="center"/>
          </w:tcPr>
          <w:p w:rsidR="003073A4" w:rsidRDefault="000545DD">
            <w:pPr>
              <w:widowControl/>
              <w:rPr>
                <w:sz w:val="16"/>
                <w:szCs w:val="16"/>
              </w:rPr>
            </w:pPr>
            <w:r>
              <w:rPr>
                <w:sz w:val="16"/>
                <w:szCs w:val="16"/>
              </w:rPr>
              <w:t>Qtde de carga movimentada pelos navios / nº horas atracados</w:t>
            </w:r>
          </w:p>
        </w:tc>
        <w:tc>
          <w:tcPr>
            <w:tcW w:w="785" w:type="dxa"/>
            <w:shd w:val="clear" w:color="auto" w:fill="BFBFBF"/>
            <w:vAlign w:val="center"/>
          </w:tcPr>
          <w:p w:rsidR="003073A4" w:rsidRDefault="000545DD">
            <w:pPr>
              <w:widowControl/>
              <w:rPr>
                <w:sz w:val="16"/>
                <w:szCs w:val="16"/>
              </w:rPr>
            </w:pPr>
            <w:r>
              <w:rPr>
                <w:sz w:val="16"/>
                <w:szCs w:val="16"/>
              </w:rPr>
              <w:t>Granel sólido cereal</w:t>
            </w:r>
          </w:p>
        </w:tc>
        <w:tc>
          <w:tcPr>
            <w:tcW w:w="1035" w:type="dxa"/>
            <w:shd w:val="clear" w:color="auto" w:fill="BFBFBF"/>
            <w:vAlign w:val="center"/>
          </w:tcPr>
          <w:p w:rsidR="003073A4" w:rsidRDefault="000545DD">
            <w:pPr>
              <w:widowControl/>
              <w:jc w:val="center"/>
              <w:rPr>
                <w:sz w:val="16"/>
                <w:szCs w:val="16"/>
              </w:rPr>
            </w:pPr>
            <w:r>
              <w:rPr>
                <w:sz w:val="16"/>
                <w:szCs w:val="16"/>
              </w:rPr>
              <w:t>ton/h</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340</w:t>
            </w:r>
          </w:p>
        </w:tc>
        <w:tc>
          <w:tcPr>
            <w:tcW w:w="1043" w:type="dxa"/>
            <w:shd w:val="clear" w:color="auto" w:fill="BFBFBF"/>
            <w:vAlign w:val="center"/>
          </w:tcPr>
          <w:p w:rsidR="003073A4" w:rsidRDefault="000545DD">
            <w:pPr>
              <w:widowControl/>
              <w:jc w:val="center"/>
              <w:rPr>
                <w:sz w:val="16"/>
                <w:szCs w:val="16"/>
              </w:rPr>
            </w:pPr>
            <w:r>
              <w:rPr>
                <w:sz w:val="16"/>
                <w:szCs w:val="16"/>
              </w:rPr>
              <w:t>446,9</w:t>
            </w:r>
          </w:p>
        </w:tc>
        <w:tc>
          <w:tcPr>
            <w:tcW w:w="845" w:type="dxa"/>
            <w:shd w:val="clear" w:color="auto" w:fill="BFBFBF"/>
            <w:vAlign w:val="center"/>
          </w:tcPr>
          <w:p w:rsidR="003073A4" w:rsidRDefault="000545DD">
            <w:pPr>
              <w:widowControl/>
              <w:jc w:val="center"/>
              <w:rPr>
                <w:sz w:val="16"/>
                <w:szCs w:val="16"/>
              </w:rPr>
            </w:pPr>
            <w:r>
              <w:rPr>
                <w:sz w:val="16"/>
                <w:szCs w:val="16"/>
              </w:rPr>
              <w:t>131,44%</w:t>
            </w:r>
          </w:p>
        </w:tc>
      </w:tr>
      <w:tr w:rsidR="003073A4">
        <w:trPr>
          <w:trHeight w:val="31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262"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045"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5" w:type="dxa"/>
            <w:shd w:val="clear" w:color="auto" w:fill="BFBFBF"/>
            <w:vAlign w:val="center"/>
          </w:tcPr>
          <w:p w:rsidR="003073A4" w:rsidRDefault="000545DD">
            <w:pPr>
              <w:widowControl/>
              <w:rPr>
                <w:sz w:val="16"/>
                <w:szCs w:val="16"/>
              </w:rPr>
            </w:pPr>
            <w:r>
              <w:rPr>
                <w:sz w:val="16"/>
                <w:szCs w:val="16"/>
              </w:rPr>
              <w:t>Contêiner</w:t>
            </w:r>
          </w:p>
        </w:tc>
        <w:tc>
          <w:tcPr>
            <w:tcW w:w="1035" w:type="dxa"/>
            <w:shd w:val="clear" w:color="auto" w:fill="BFBFBF"/>
            <w:vAlign w:val="center"/>
          </w:tcPr>
          <w:p w:rsidR="003073A4" w:rsidRDefault="000545DD">
            <w:pPr>
              <w:widowControl/>
              <w:jc w:val="center"/>
              <w:rPr>
                <w:sz w:val="16"/>
                <w:szCs w:val="16"/>
              </w:rPr>
            </w:pPr>
            <w:r>
              <w:rPr>
                <w:sz w:val="16"/>
                <w:szCs w:val="16"/>
              </w:rPr>
              <w:t>ton/h</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18</w:t>
            </w:r>
          </w:p>
        </w:tc>
        <w:tc>
          <w:tcPr>
            <w:tcW w:w="1043" w:type="dxa"/>
            <w:shd w:val="clear" w:color="auto" w:fill="BFBFBF"/>
            <w:vAlign w:val="center"/>
          </w:tcPr>
          <w:p w:rsidR="003073A4" w:rsidRDefault="000545DD">
            <w:pPr>
              <w:widowControl/>
              <w:jc w:val="center"/>
              <w:rPr>
                <w:sz w:val="16"/>
                <w:szCs w:val="16"/>
              </w:rPr>
            </w:pPr>
            <w:r>
              <w:rPr>
                <w:sz w:val="16"/>
                <w:szCs w:val="16"/>
              </w:rPr>
              <w:t>24,6</w:t>
            </w:r>
          </w:p>
        </w:tc>
        <w:tc>
          <w:tcPr>
            <w:tcW w:w="845" w:type="dxa"/>
            <w:shd w:val="clear" w:color="auto" w:fill="BFBFBF"/>
            <w:vAlign w:val="center"/>
          </w:tcPr>
          <w:p w:rsidR="003073A4" w:rsidRDefault="000545DD">
            <w:pPr>
              <w:widowControl/>
              <w:jc w:val="center"/>
              <w:rPr>
                <w:sz w:val="16"/>
                <w:szCs w:val="16"/>
              </w:rPr>
            </w:pPr>
            <w:r>
              <w:rPr>
                <w:sz w:val="16"/>
                <w:szCs w:val="16"/>
              </w:rPr>
              <w:t>136,67%</w:t>
            </w:r>
          </w:p>
        </w:tc>
      </w:tr>
      <w:tr w:rsidR="003073A4">
        <w:trPr>
          <w:trHeight w:val="31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262"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045"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5" w:type="dxa"/>
            <w:shd w:val="clear" w:color="auto" w:fill="BFBFBF"/>
            <w:vAlign w:val="center"/>
          </w:tcPr>
          <w:p w:rsidR="003073A4" w:rsidRDefault="000545DD">
            <w:pPr>
              <w:widowControl/>
              <w:rPr>
                <w:sz w:val="16"/>
                <w:szCs w:val="16"/>
              </w:rPr>
            </w:pPr>
            <w:r>
              <w:rPr>
                <w:sz w:val="16"/>
                <w:szCs w:val="16"/>
              </w:rPr>
              <w:t>Granel sólido mineral</w:t>
            </w:r>
          </w:p>
        </w:tc>
        <w:tc>
          <w:tcPr>
            <w:tcW w:w="1035" w:type="dxa"/>
            <w:shd w:val="clear" w:color="auto" w:fill="BFBFBF"/>
            <w:vAlign w:val="center"/>
          </w:tcPr>
          <w:p w:rsidR="003073A4" w:rsidRDefault="000545DD">
            <w:pPr>
              <w:widowControl/>
              <w:jc w:val="center"/>
              <w:rPr>
                <w:sz w:val="16"/>
                <w:szCs w:val="16"/>
              </w:rPr>
            </w:pPr>
            <w:r>
              <w:rPr>
                <w:sz w:val="16"/>
                <w:szCs w:val="16"/>
              </w:rPr>
              <w:t>ton/h</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235</w:t>
            </w:r>
          </w:p>
        </w:tc>
        <w:tc>
          <w:tcPr>
            <w:tcW w:w="1043" w:type="dxa"/>
            <w:shd w:val="clear" w:color="auto" w:fill="BFBFBF"/>
            <w:vAlign w:val="center"/>
          </w:tcPr>
          <w:p w:rsidR="003073A4" w:rsidRDefault="000545DD">
            <w:pPr>
              <w:widowControl/>
              <w:jc w:val="center"/>
              <w:rPr>
                <w:sz w:val="16"/>
                <w:szCs w:val="16"/>
              </w:rPr>
            </w:pPr>
            <w:r>
              <w:rPr>
                <w:sz w:val="16"/>
                <w:szCs w:val="16"/>
              </w:rPr>
              <w:t>264,9</w:t>
            </w:r>
          </w:p>
        </w:tc>
        <w:tc>
          <w:tcPr>
            <w:tcW w:w="845" w:type="dxa"/>
            <w:shd w:val="clear" w:color="auto" w:fill="BFBFBF"/>
            <w:vAlign w:val="center"/>
          </w:tcPr>
          <w:p w:rsidR="003073A4" w:rsidRDefault="000545DD">
            <w:pPr>
              <w:widowControl/>
              <w:jc w:val="center"/>
              <w:rPr>
                <w:sz w:val="16"/>
                <w:szCs w:val="16"/>
              </w:rPr>
            </w:pPr>
            <w:r>
              <w:rPr>
                <w:sz w:val="16"/>
                <w:szCs w:val="16"/>
              </w:rPr>
              <w:t>112,72%</w:t>
            </w:r>
          </w:p>
        </w:tc>
      </w:tr>
      <w:tr w:rsidR="003073A4">
        <w:trPr>
          <w:trHeight w:val="315"/>
        </w:trPr>
        <w:tc>
          <w:tcPr>
            <w:tcW w:w="1254" w:type="dxa"/>
            <w:vMerge/>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1144"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262"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045"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5" w:type="dxa"/>
            <w:shd w:val="clear" w:color="auto" w:fill="BFBFBF"/>
            <w:vAlign w:val="center"/>
          </w:tcPr>
          <w:p w:rsidR="003073A4" w:rsidRDefault="000545DD">
            <w:pPr>
              <w:widowControl/>
              <w:rPr>
                <w:sz w:val="16"/>
                <w:szCs w:val="16"/>
              </w:rPr>
            </w:pPr>
            <w:r>
              <w:rPr>
                <w:sz w:val="16"/>
                <w:szCs w:val="16"/>
              </w:rPr>
              <w:t>Granel líquido</w:t>
            </w:r>
          </w:p>
        </w:tc>
        <w:tc>
          <w:tcPr>
            <w:tcW w:w="1035" w:type="dxa"/>
            <w:shd w:val="clear" w:color="auto" w:fill="BFBFBF"/>
            <w:vAlign w:val="center"/>
          </w:tcPr>
          <w:p w:rsidR="003073A4" w:rsidRDefault="000545DD">
            <w:pPr>
              <w:widowControl/>
              <w:jc w:val="center"/>
              <w:rPr>
                <w:sz w:val="16"/>
                <w:szCs w:val="16"/>
              </w:rPr>
            </w:pPr>
            <w:r>
              <w:rPr>
                <w:sz w:val="16"/>
                <w:szCs w:val="16"/>
              </w:rPr>
              <w:t>ton/h</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35</w:t>
            </w:r>
          </w:p>
        </w:tc>
        <w:tc>
          <w:tcPr>
            <w:tcW w:w="1043" w:type="dxa"/>
            <w:shd w:val="clear" w:color="auto" w:fill="BFBFBF"/>
            <w:vAlign w:val="center"/>
          </w:tcPr>
          <w:p w:rsidR="003073A4" w:rsidRDefault="000545DD">
            <w:pPr>
              <w:widowControl/>
              <w:jc w:val="center"/>
              <w:rPr>
                <w:sz w:val="16"/>
                <w:szCs w:val="16"/>
              </w:rPr>
            </w:pPr>
            <w:r>
              <w:rPr>
                <w:sz w:val="16"/>
                <w:szCs w:val="16"/>
              </w:rPr>
              <w:t>72,1</w:t>
            </w:r>
          </w:p>
        </w:tc>
        <w:tc>
          <w:tcPr>
            <w:tcW w:w="845" w:type="dxa"/>
            <w:shd w:val="clear" w:color="auto" w:fill="BFBFBF"/>
            <w:vAlign w:val="center"/>
          </w:tcPr>
          <w:p w:rsidR="003073A4" w:rsidRDefault="000545DD">
            <w:pPr>
              <w:widowControl/>
              <w:jc w:val="center"/>
              <w:rPr>
                <w:sz w:val="16"/>
                <w:szCs w:val="16"/>
              </w:rPr>
            </w:pPr>
            <w:r>
              <w:rPr>
                <w:sz w:val="16"/>
                <w:szCs w:val="16"/>
              </w:rPr>
              <w:t>206%</w:t>
            </w:r>
          </w:p>
        </w:tc>
      </w:tr>
      <w:tr w:rsidR="003073A4">
        <w:trPr>
          <w:trHeight w:val="690"/>
        </w:trPr>
        <w:tc>
          <w:tcPr>
            <w:tcW w:w="1254" w:type="dxa"/>
            <w:vMerge w:val="restart"/>
            <w:shd w:val="clear" w:color="auto" w:fill="548235"/>
            <w:vAlign w:val="center"/>
          </w:tcPr>
          <w:p w:rsidR="003073A4" w:rsidRDefault="000545DD">
            <w:pPr>
              <w:widowControl/>
              <w:jc w:val="center"/>
              <w:rPr>
                <w:b/>
                <w:bCs/>
                <w:color w:val="FFFFFF"/>
                <w:sz w:val="16"/>
                <w:szCs w:val="16"/>
              </w:rPr>
            </w:pPr>
            <w:r>
              <w:rPr>
                <w:b/>
                <w:bCs/>
                <w:color w:val="FFFFFF"/>
                <w:sz w:val="16"/>
                <w:szCs w:val="16"/>
              </w:rPr>
              <w:t>Aprendizado e Crescimento</w:t>
            </w:r>
          </w:p>
        </w:tc>
        <w:tc>
          <w:tcPr>
            <w:tcW w:w="1144" w:type="dxa"/>
            <w:shd w:val="clear" w:color="auto" w:fill="BFBFBF"/>
          </w:tcPr>
          <w:p w:rsidR="003073A4" w:rsidRDefault="000545DD">
            <w:pPr>
              <w:widowControl/>
              <w:rPr>
                <w:b/>
                <w:bCs/>
                <w:sz w:val="16"/>
                <w:szCs w:val="16"/>
              </w:rPr>
            </w:pPr>
            <w:r>
              <w:rPr>
                <w:b/>
                <w:bCs/>
                <w:sz w:val="16"/>
                <w:szCs w:val="16"/>
              </w:rPr>
              <w:t>Plano de capacitação</w:t>
            </w:r>
          </w:p>
        </w:tc>
        <w:tc>
          <w:tcPr>
            <w:tcW w:w="1262" w:type="dxa"/>
            <w:shd w:val="clear" w:color="auto" w:fill="BFBFBF"/>
            <w:vAlign w:val="center"/>
          </w:tcPr>
          <w:p w:rsidR="003073A4" w:rsidRDefault="000545DD">
            <w:pPr>
              <w:widowControl/>
              <w:rPr>
                <w:sz w:val="16"/>
                <w:szCs w:val="16"/>
              </w:rPr>
            </w:pPr>
            <w:r>
              <w:rPr>
                <w:sz w:val="16"/>
                <w:szCs w:val="16"/>
              </w:rPr>
              <w:t>Desenvolver e reconhecer competências internas</w:t>
            </w:r>
          </w:p>
        </w:tc>
        <w:tc>
          <w:tcPr>
            <w:tcW w:w="1830" w:type="dxa"/>
            <w:gridSpan w:val="2"/>
            <w:shd w:val="clear" w:color="auto" w:fill="BFBFBF"/>
            <w:vAlign w:val="center"/>
          </w:tcPr>
          <w:p w:rsidR="003073A4" w:rsidRDefault="000545DD">
            <w:pPr>
              <w:widowControl/>
              <w:rPr>
                <w:sz w:val="16"/>
                <w:szCs w:val="16"/>
              </w:rPr>
            </w:pPr>
            <w:r>
              <w:rPr>
                <w:sz w:val="16"/>
                <w:szCs w:val="16"/>
              </w:rPr>
              <w:t>Horas de capacitação / Nº de empregados</w:t>
            </w:r>
          </w:p>
        </w:tc>
        <w:tc>
          <w:tcPr>
            <w:tcW w:w="1035" w:type="dxa"/>
            <w:shd w:val="clear" w:color="auto" w:fill="BFBFBF"/>
            <w:vAlign w:val="center"/>
          </w:tcPr>
          <w:p w:rsidR="003073A4" w:rsidRDefault="000545DD">
            <w:pPr>
              <w:widowControl/>
              <w:jc w:val="center"/>
              <w:rPr>
                <w:sz w:val="16"/>
                <w:szCs w:val="16"/>
              </w:rPr>
            </w:pPr>
            <w:r>
              <w:rPr>
                <w:sz w:val="16"/>
                <w:szCs w:val="16"/>
              </w:rPr>
              <w:t>h/empregado</w:t>
            </w:r>
          </w:p>
        </w:tc>
        <w:tc>
          <w:tcPr>
            <w:tcW w:w="817" w:type="dxa"/>
            <w:shd w:val="clear" w:color="auto" w:fill="BFBFBF"/>
            <w:vAlign w:val="center"/>
          </w:tcPr>
          <w:p w:rsidR="003073A4" w:rsidRDefault="000545DD">
            <w:pPr>
              <w:widowControl/>
              <w:jc w:val="center"/>
              <w:rPr>
                <w:sz w:val="16"/>
                <w:szCs w:val="16"/>
              </w:rPr>
            </w:pPr>
            <w:r>
              <w:rPr>
                <w:sz w:val="16"/>
                <w:szCs w:val="16"/>
              </w:rPr>
              <w:t>Mensal</w:t>
            </w:r>
          </w:p>
        </w:tc>
        <w:tc>
          <w:tcPr>
            <w:tcW w:w="835" w:type="dxa"/>
            <w:shd w:val="clear" w:color="auto" w:fill="BFBFBF"/>
            <w:vAlign w:val="center"/>
          </w:tcPr>
          <w:p w:rsidR="003073A4" w:rsidRDefault="000545DD">
            <w:pPr>
              <w:widowControl/>
              <w:jc w:val="center"/>
              <w:rPr>
                <w:sz w:val="16"/>
                <w:szCs w:val="16"/>
              </w:rPr>
            </w:pPr>
            <w:r>
              <w:rPr>
                <w:sz w:val="16"/>
                <w:szCs w:val="16"/>
              </w:rPr>
              <w:t>20</w:t>
            </w:r>
          </w:p>
        </w:tc>
        <w:tc>
          <w:tcPr>
            <w:tcW w:w="1043" w:type="dxa"/>
            <w:shd w:val="clear" w:color="auto" w:fill="BFBFBF"/>
            <w:vAlign w:val="center"/>
          </w:tcPr>
          <w:p w:rsidR="003073A4" w:rsidRDefault="000545DD">
            <w:pPr>
              <w:widowControl/>
              <w:jc w:val="center"/>
              <w:rPr>
                <w:sz w:val="16"/>
                <w:szCs w:val="16"/>
              </w:rPr>
            </w:pPr>
            <w:r>
              <w:rPr>
                <w:sz w:val="16"/>
                <w:szCs w:val="16"/>
              </w:rPr>
              <w:t>24,9</w:t>
            </w:r>
          </w:p>
        </w:tc>
        <w:tc>
          <w:tcPr>
            <w:tcW w:w="845" w:type="dxa"/>
            <w:shd w:val="clear" w:color="auto" w:fill="BFBFBF"/>
            <w:vAlign w:val="center"/>
          </w:tcPr>
          <w:p w:rsidR="003073A4" w:rsidRDefault="000545DD">
            <w:pPr>
              <w:widowControl/>
              <w:jc w:val="center"/>
              <w:rPr>
                <w:sz w:val="16"/>
                <w:szCs w:val="16"/>
              </w:rPr>
            </w:pPr>
            <w:r>
              <w:rPr>
                <w:sz w:val="16"/>
                <w:szCs w:val="16"/>
              </w:rPr>
              <w:t>124,5%</w:t>
            </w:r>
          </w:p>
        </w:tc>
      </w:tr>
      <w:tr w:rsidR="003073A4">
        <w:trPr>
          <w:trHeight w:val="915"/>
        </w:trPr>
        <w:tc>
          <w:tcPr>
            <w:tcW w:w="1254" w:type="dxa"/>
            <w:vMerge/>
            <w:shd w:val="clear" w:color="auto" w:fill="548235"/>
            <w:vAlign w:val="center"/>
          </w:tcPr>
          <w:p w:rsidR="003073A4" w:rsidRDefault="003073A4">
            <w:pPr>
              <w:pBdr>
                <w:top w:val="nil"/>
                <w:left w:val="nil"/>
                <w:bottom w:val="nil"/>
                <w:right w:val="nil"/>
                <w:between w:val="nil"/>
              </w:pBdr>
              <w:spacing w:line="276" w:lineRule="auto"/>
              <w:rPr>
                <w:sz w:val="16"/>
                <w:szCs w:val="16"/>
              </w:rPr>
            </w:pPr>
          </w:p>
        </w:tc>
        <w:tc>
          <w:tcPr>
            <w:tcW w:w="1144" w:type="dxa"/>
            <w:shd w:val="clear" w:color="auto" w:fill="BFBFBF"/>
            <w:vAlign w:val="center"/>
          </w:tcPr>
          <w:p w:rsidR="003073A4" w:rsidRDefault="000545DD">
            <w:pPr>
              <w:widowControl/>
              <w:rPr>
                <w:b/>
                <w:bCs/>
                <w:sz w:val="16"/>
                <w:szCs w:val="16"/>
              </w:rPr>
            </w:pPr>
            <w:r>
              <w:rPr>
                <w:b/>
                <w:bCs/>
                <w:sz w:val="16"/>
                <w:szCs w:val="16"/>
              </w:rPr>
              <w:t>Plano de Qualidade de Vida no Trabalho</w:t>
            </w:r>
          </w:p>
        </w:tc>
        <w:tc>
          <w:tcPr>
            <w:tcW w:w="1262" w:type="dxa"/>
            <w:shd w:val="clear" w:color="auto" w:fill="BFBFBF"/>
            <w:vAlign w:val="center"/>
          </w:tcPr>
          <w:p w:rsidR="003073A4" w:rsidRDefault="000545DD">
            <w:pPr>
              <w:widowControl/>
              <w:rPr>
                <w:sz w:val="16"/>
                <w:szCs w:val="16"/>
              </w:rPr>
            </w:pPr>
            <w:r>
              <w:rPr>
                <w:sz w:val="16"/>
                <w:szCs w:val="16"/>
              </w:rPr>
              <w:t>Fomentar a cultura orientada para a satisfação dos colaboradores</w:t>
            </w:r>
          </w:p>
        </w:tc>
        <w:tc>
          <w:tcPr>
            <w:tcW w:w="1830" w:type="dxa"/>
            <w:gridSpan w:val="2"/>
            <w:shd w:val="clear" w:color="auto" w:fill="BFBFBF"/>
            <w:vAlign w:val="center"/>
          </w:tcPr>
          <w:p w:rsidR="003073A4" w:rsidRDefault="000545DD">
            <w:pPr>
              <w:widowControl/>
              <w:rPr>
                <w:sz w:val="16"/>
                <w:szCs w:val="16"/>
              </w:rPr>
            </w:pPr>
            <w:r>
              <w:rPr>
                <w:sz w:val="16"/>
                <w:szCs w:val="16"/>
              </w:rPr>
              <w:t>Ações realizadas / Ações previstas</w:t>
            </w:r>
          </w:p>
          <w:p w:rsidR="003073A4" w:rsidRDefault="003073A4">
            <w:pPr>
              <w:widowControl/>
              <w:rPr>
                <w:sz w:val="16"/>
                <w:szCs w:val="16"/>
              </w:rPr>
            </w:pPr>
          </w:p>
        </w:tc>
        <w:tc>
          <w:tcPr>
            <w:tcW w:w="1035" w:type="dxa"/>
            <w:shd w:val="clear" w:color="auto" w:fill="BFBFBF"/>
            <w:vAlign w:val="center"/>
          </w:tcPr>
          <w:p w:rsidR="003073A4" w:rsidRDefault="000545DD">
            <w:pPr>
              <w:widowControl/>
              <w:jc w:val="center"/>
              <w:rPr>
                <w:sz w:val="16"/>
                <w:szCs w:val="16"/>
              </w:rPr>
            </w:pPr>
            <w:r>
              <w:rPr>
                <w:sz w:val="16"/>
                <w:szCs w:val="16"/>
              </w:rPr>
              <w:t>%</w:t>
            </w:r>
          </w:p>
        </w:tc>
        <w:tc>
          <w:tcPr>
            <w:tcW w:w="817" w:type="dxa"/>
            <w:shd w:val="clear" w:color="auto" w:fill="BFBFBF"/>
            <w:vAlign w:val="center"/>
          </w:tcPr>
          <w:p w:rsidR="003073A4" w:rsidRDefault="000545DD">
            <w:pPr>
              <w:widowControl/>
              <w:jc w:val="center"/>
              <w:rPr>
                <w:sz w:val="16"/>
                <w:szCs w:val="16"/>
              </w:rPr>
            </w:pPr>
            <w:r>
              <w:rPr>
                <w:sz w:val="16"/>
                <w:szCs w:val="16"/>
              </w:rPr>
              <w:t>Trimestral</w:t>
            </w:r>
          </w:p>
        </w:tc>
        <w:tc>
          <w:tcPr>
            <w:tcW w:w="835" w:type="dxa"/>
            <w:shd w:val="clear" w:color="auto" w:fill="BFBFBF"/>
            <w:vAlign w:val="center"/>
          </w:tcPr>
          <w:p w:rsidR="003073A4" w:rsidRDefault="000545DD">
            <w:pPr>
              <w:widowControl/>
              <w:jc w:val="center"/>
              <w:rPr>
                <w:b/>
                <w:bCs/>
                <w:sz w:val="16"/>
                <w:szCs w:val="16"/>
              </w:rPr>
            </w:pPr>
            <w:r>
              <w:rPr>
                <w:sz w:val="16"/>
                <w:szCs w:val="16"/>
              </w:rPr>
              <w:t>80</w:t>
            </w:r>
          </w:p>
        </w:tc>
        <w:tc>
          <w:tcPr>
            <w:tcW w:w="1043" w:type="dxa"/>
            <w:shd w:val="clear" w:color="auto" w:fill="BFBFBF"/>
            <w:vAlign w:val="center"/>
          </w:tcPr>
          <w:p w:rsidR="003073A4" w:rsidRDefault="000545DD">
            <w:pPr>
              <w:widowControl/>
              <w:jc w:val="center"/>
              <w:rPr>
                <w:sz w:val="16"/>
                <w:szCs w:val="16"/>
              </w:rPr>
            </w:pPr>
            <w:r>
              <w:rPr>
                <w:sz w:val="16"/>
                <w:szCs w:val="16"/>
              </w:rPr>
              <w:t>81,8</w:t>
            </w:r>
          </w:p>
        </w:tc>
        <w:tc>
          <w:tcPr>
            <w:tcW w:w="845" w:type="dxa"/>
            <w:shd w:val="clear" w:color="auto" w:fill="BFBFBF"/>
            <w:vAlign w:val="center"/>
          </w:tcPr>
          <w:p w:rsidR="003073A4" w:rsidRDefault="000545DD">
            <w:pPr>
              <w:widowControl/>
              <w:jc w:val="center"/>
              <w:rPr>
                <w:sz w:val="16"/>
                <w:szCs w:val="16"/>
              </w:rPr>
            </w:pPr>
            <w:r>
              <w:rPr>
                <w:sz w:val="16"/>
                <w:szCs w:val="16"/>
              </w:rPr>
              <w:t>102,25%</w:t>
            </w:r>
          </w:p>
        </w:tc>
      </w:tr>
    </w:tbl>
    <w:p w:rsidR="003073A4" w:rsidRDefault="000545DD">
      <w:pPr>
        <w:pBdr>
          <w:top w:val="nil"/>
          <w:left w:val="nil"/>
          <w:bottom w:val="nil"/>
          <w:right w:val="nil"/>
          <w:between w:val="nil"/>
        </w:pBdr>
        <w:tabs>
          <w:tab w:val="left" w:pos="930"/>
        </w:tabs>
        <w:spacing w:line="360" w:lineRule="auto"/>
        <w:ind w:left="720" w:right="194"/>
        <w:jc w:val="both"/>
        <w:rPr>
          <w:i/>
          <w:iCs/>
          <w:color w:val="000000"/>
          <w:sz w:val="18"/>
          <w:szCs w:val="18"/>
        </w:rPr>
      </w:pPr>
      <w:r>
        <w:rPr>
          <w:i/>
          <w:iCs/>
          <w:color w:val="000000"/>
          <w:sz w:val="18"/>
          <w:szCs w:val="18"/>
        </w:rPr>
        <w:t>* Em 2025 ocorreu ciclo de avaliação do indicador, entretanto o resultado ainda não foi divulgado pelo órgão competente.</w:t>
      </w:r>
    </w:p>
    <w:p w:rsidR="003073A4" w:rsidRDefault="000545DD">
      <w:pPr>
        <w:spacing w:before="120" w:after="240"/>
        <w:ind w:left="221" w:hanging="221"/>
        <w:rPr>
          <w:color w:val="000000"/>
          <w:sz w:val="18"/>
          <w:szCs w:val="18"/>
        </w:rPr>
      </w:pPr>
      <w:r>
        <w:rPr>
          <w:i/>
          <w:iCs/>
          <w:color w:val="000000"/>
          <w:sz w:val="18"/>
          <w:szCs w:val="18"/>
        </w:rPr>
        <w:t xml:space="preserve"> </w:t>
      </w:r>
      <w:r>
        <w:rPr>
          <w:color w:val="000000"/>
          <w:sz w:val="18"/>
          <w:szCs w:val="18"/>
        </w:rPr>
        <w:t>Fonte: Planejamento Estratégico - 2025-2029 (2026)</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CDC também acompanha o cumprimento das metas de gestão constantes em Honorário Variável Mensal (HVM). As iniciativas são propostas pela Secretaria Nacional de Portos - SNP e pelo Conselho de Administração, e representam um mecanismo de mensuração e cumprimento de políticas públicas nos temas de Planejamento e Desenvolvimento Portuário, Gestão Logística e de Operações, Gestão Patrimonial, Sustentabilidade </w:t>
      </w:r>
      <w:r w:rsidR="00656365">
        <w:rPr>
          <w:color w:val="000000"/>
        </w:rPr>
        <w:t>Econômico-financeira</w:t>
      </w:r>
      <w:r>
        <w:rPr>
          <w:color w:val="000000"/>
        </w:rPr>
        <w:t xml:space="preserve"> e Governança, Gestão Administrativa e de Pessoas, Sustentabilidade Ambiental e Integração com a Comunidade.</w:t>
      </w:r>
    </w:p>
    <w:p w:rsidR="003073A4" w:rsidRDefault="003073A4">
      <w:pPr>
        <w:pBdr>
          <w:top w:val="nil"/>
          <w:left w:val="nil"/>
          <w:bottom w:val="nil"/>
          <w:right w:val="nil"/>
          <w:between w:val="nil"/>
        </w:pBdr>
        <w:spacing w:before="120" w:after="120" w:line="360" w:lineRule="auto"/>
        <w:jc w:val="both"/>
        <w:rPr>
          <w:color w:val="FF0000"/>
          <w:sz w:val="10"/>
          <w:szCs w:val="10"/>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Recursos para custeio das políticas públicas</w:t>
      </w:r>
    </w:p>
    <w:p w:rsidR="003073A4" w:rsidRDefault="003073A4">
      <w:pPr>
        <w:pBdr>
          <w:top w:val="nil"/>
          <w:left w:val="nil"/>
          <w:bottom w:val="nil"/>
          <w:right w:val="nil"/>
          <w:between w:val="nil"/>
        </w:pBdr>
        <w:spacing w:before="120" w:after="120"/>
        <w:ind w:left="709" w:hanging="709"/>
        <w:jc w:val="both"/>
        <w:rPr>
          <w:b/>
          <w:bCs/>
          <w:color w:val="FF0000"/>
          <w:sz w:val="32"/>
          <w:szCs w:val="32"/>
        </w:rPr>
      </w:pP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As atividades desenvolvidas pela Companhia Docas do Ceará (CDC) em 2025 foram custeadas, exclusivamente, com recursos próprios, advindos, sobretudo, das receitas tarifárias arrecadadas em decorrência da operação portuária. Também contribui com o custeio das atividades portuárias, a receita patrimonial, oriunda dos arrendamentos, concessões e explorações de áreas, e, ainda, com </w:t>
      </w:r>
      <w:r>
        <w:rPr>
          <w:color w:val="000000"/>
        </w:rPr>
        <w:lastRenderedPageBreak/>
        <w:t>menor participação, as receitas de aplicações financeiras.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Eventualmente, a CDC pode contar também com a participação da União, por meio de recursos repassados pelo Tesouro Nacional, mediante lei específica, para a execução de investimentos na infraestrutura e superestrutura portuária (projetos específicos, obras). Registra-se que não houve recebimento de recursos da União, em 2025.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Segue a Tabela </w:t>
      </w:r>
      <w:r w:rsidR="00E944DE">
        <w:rPr>
          <w:color w:val="000000"/>
        </w:rPr>
        <w:t>2</w:t>
      </w:r>
      <w:r>
        <w:rPr>
          <w:color w:val="000000"/>
        </w:rPr>
        <w:t xml:space="preserve"> com a execução de investimentos realizados em 2025. </w:t>
      </w:r>
    </w:p>
    <w:p w:rsidR="003073A4" w:rsidRDefault="000545DD">
      <w:pPr>
        <w:pBdr>
          <w:top w:val="nil"/>
          <w:left w:val="nil"/>
          <w:bottom w:val="nil"/>
          <w:right w:val="nil"/>
          <w:between w:val="nil"/>
        </w:pBdr>
        <w:spacing w:before="120" w:after="120" w:line="360" w:lineRule="auto"/>
        <w:ind w:right="195"/>
        <w:jc w:val="both"/>
        <w:rPr>
          <w:i/>
          <w:iCs/>
        </w:rPr>
      </w:pPr>
      <w:r>
        <w:rPr>
          <w:color w:val="000000"/>
          <w:sz w:val="18"/>
          <w:szCs w:val="18"/>
        </w:rPr>
        <w:t>Tabela 2 – Execução Orçamentária do OI - CDC</w:t>
      </w:r>
    </w:p>
    <w:tbl>
      <w:tblPr>
        <w:tblStyle w:val="a4"/>
        <w:tblpPr w:leftFromText="180" w:rightFromText="180" w:topFromText="180" w:bottomFromText="180" w:vertAnchor="text" w:tblpX="5"/>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1"/>
        <w:gridCol w:w="1313"/>
        <w:gridCol w:w="1370"/>
        <w:gridCol w:w="1136"/>
      </w:tblGrid>
      <w:tr w:rsidR="003073A4">
        <w:trPr>
          <w:trHeight w:val="364"/>
        </w:trPr>
        <w:tc>
          <w:tcPr>
            <w:tcW w:w="8920" w:type="dxa"/>
            <w:gridSpan w:val="4"/>
            <w:shd w:val="clear" w:color="auto" w:fill="44536A"/>
          </w:tcPr>
          <w:p w:rsidR="003073A4" w:rsidRDefault="000545DD">
            <w:pPr>
              <w:tabs>
                <w:tab w:val="left" w:pos="5080"/>
              </w:tabs>
              <w:spacing w:before="1"/>
              <w:ind w:left="2814" w:right="-6"/>
              <w:jc w:val="center"/>
              <w:rPr>
                <w:b/>
                <w:bCs/>
                <w:color w:val="FFFFFF"/>
                <w:sz w:val="20"/>
                <w:szCs w:val="20"/>
              </w:rPr>
            </w:pPr>
            <w:r>
              <w:rPr>
                <w:b/>
                <w:bCs/>
                <w:color w:val="FFFFFF"/>
                <w:sz w:val="20"/>
                <w:szCs w:val="20"/>
              </w:rPr>
              <w:t>EXECUÇÃO ORÇAMENTÁRIA – ORÇAMENTO DE INVESTIMENTO</w:t>
            </w:r>
          </w:p>
        </w:tc>
      </w:tr>
      <w:tr w:rsidR="003073A4">
        <w:trPr>
          <w:trHeight w:val="325"/>
        </w:trPr>
        <w:tc>
          <w:tcPr>
            <w:tcW w:w="5101" w:type="dxa"/>
            <w:vMerge w:val="restart"/>
            <w:shd w:val="clear" w:color="auto" w:fill="44536A"/>
          </w:tcPr>
          <w:p w:rsidR="003073A4" w:rsidRDefault="003073A4">
            <w:pPr>
              <w:spacing w:before="2"/>
              <w:rPr>
                <w:color w:val="FFFFFF"/>
                <w:sz w:val="14"/>
                <w:szCs w:val="14"/>
              </w:rPr>
            </w:pPr>
          </w:p>
          <w:p w:rsidR="003073A4" w:rsidRDefault="000545DD">
            <w:pPr>
              <w:spacing w:before="1"/>
              <w:ind w:left="1815" w:right="1791"/>
              <w:jc w:val="center"/>
              <w:rPr>
                <w:b/>
                <w:bCs/>
                <w:color w:val="FFFFFF"/>
                <w:sz w:val="18"/>
                <w:szCs w:val="18"/>
              </w:rPr>
            </w:pPr>
            <w:r>
              <w:rPr>
                <w:b/>
                <w:bCs/>
                <w:color w:val="FFFFFF"/>
                <w:sz w:val="18"/>
                <w:szCs w:val="18"/>
              </w:rPr>
              <w:t>RUBRICAS</w:t>
            </w:r>
          </w:p>
        </w:tc>
        <w:tc>
          <w:tcPr>
            <w:tcW w:w="3819" w:type="dxa"/>
            <w:gridSpan w:val="3"/>
            <w:shd w:val="clear" w:color="auto" w:fill="44536A"/>
          </w:tcPr>
          <w:p w:rsidR="003073A4" w:rsidRDefault="000545DD">
            <w:pPr>
              <w:spacing w:line="218" w:lineRule="auto"/>
              <w:ind w:left="606"/>
              <w:jc w:val="center"/>
              <w:rPr>
                <w:b/>
                <w:bCs/>
                <w:color w:val="FFFFFF"/>
                <w:sz w:val="18"/>
                <w:szCs w:val="18"/>
              </w:rPr>
            </w:pPr>
            <w:r>
              <w:rPr>
                <w:b/>
                <w:bCs/>
                <w:color w:val="FFFFFF"/>
                <w:sz w:val="18"/>
                <w:szCs w:val="18"/>
              </w:rPr>
              <w:t>VALORES EXECUTADOS (R$)</w:t>
            </w:r>
          </w:p>
        </w:tc>
      </w:tr>
      <w:tr w:rsidR="003073A4">
        <w:trPr>
          <w:trHeight w:val="319"/>
        </w:trPr>
        <w:tc>
          <w:tcPr>
            <w:tcW w:w="5101" w:type="dxa"/>
            <w:vMerge/>
            <w:shd w:val="clear" w:color="auto" w:fill="44536A"/>
          </w:tcPr>
          <w:p w:rsidR="003073A4" w:rsidRDefault="003073A4">
            <w:pPr>
              <w:spacing w:line="276" w:lineRule="auto"/>
              <w:rPr>
                <w:b/>
                <w:bCs/>
                <w:color w:val="FFFFFF"/>
                <w:sz w:val="18"/>
                <w:szCs w:val="18"/>
              </w:rPr>
            </w:pPr>
          </w:p>
        </w:tc>
        <w:tc>
          <w:tcPr>
            <w:tcW w:w="1313" w:type="dxa"/>
            <w:shd w:val="clear" w:color="auto" w:fill="44536A"/>
            <w:vAlign w:val="center"/>
          </w:tcPr>
          <w:p w:rsidR="003073A4" w:rsidRDefault="000545DD">
            <w:pPr>
              <w:spacing w:line="213" w:lineRule="auto"/>
              <w:ind w:left="139" w:right="124"/>
              <w:jc w:val="center"/>
              <w:rPr>
                <w:b/>
                <w:bCs/>
                <w:color w:val="FFFFFF"/>
                <w:sz w:val="18"/>
                <w:szCs w:val="18"/>
              </w:rPr>
            </w:pPr>
            <w:r>
              <w:rPr>
                <w:b/>
                <w:bCs/>
                <w:color w:val="FFFFFF"/>
                <w:sz w:val="18"/>
                <w:szCs w:val="18"/>
              </w:rPr>
              <w:t>2024</w:t>
            </w:r>
          </w:p>
        </w:tc>
        <w:tc>
          <w:tcPr>
            <w:tcW w:w="1370" w:type="dxa"/>
            <w:shd w:val="clear" w:color="auto" w:fill="44536A"/>
            <w:vAlign w:val="center"/>
          </w:tcPr>
          <w:p w:rsidR="003073A4" w:rsidRDefault="000545DD">
            <w:pPr>
              <w:spacing w:line="213" w:lineRule="auto"/>
              <w:ind w:left="133" w:right="124"/>
              <w:jc w:val="center"/>
              <w:rPr>
                <w:b/>
                <w:bCs/>
                <w:color w:val="FFFFFF"/>
                <w:sz w:val="18"/>
                <w:szCs w:val="18"/>
              </w:rPr>
            </w:pPr>
            <w:r>
              <w:rPr>
                <w:b/>
                <w:bCs/>
                <w:color w:val="FFFFFF"/>
                <w:sz w:val="18"/>
                <w:szCs w:val="18"/>
              </w:rPr>
              <w:t>2025</w:t>
            </w:r>
          </w:p>
        </w:tc>
        <w:tc>
          <w:tcPr>
            <w:tcW w:w="1136" w:type="dxa"/>
            <w:shd w:val="clear" w:color="auto" w:fill="44536A"/>
            <w:vAlign w:val="center"/>
          </w:tcPr>
          <w:p w:rsidR="003073A4" w:rsidRDefault="000545DD">
            <w:pPr>
              <w:spacing w:line="213" w:lineRule="auto"/>
              <w:ind w:left="133" w:right="124"/>
              <w:jc w:val="center"/>
              <w:rPr>
                <w:b/>
                <w:bCs/>
                <w:color w:val="FFFFFF"/>
                <w:sz w:val="18"/>
                <w:szCs w:val="18"/>
              </w:rPr>
            </w:pPr>
            <w:r>
              <w:rPr>
                <w:b/>
                <w:bCs/>
                <w:color w:val="FFFFFF"/>
                <w:sz w:val="18"/>
                <w:szCs w:val="18"/>
              </w:rPr>
              <w:t>VARIAÇÃO%</w:t>
            </w:r>
            <w:r>
              <w:rPr>
                <w:b/>
                <w:bCs/>
                <w:color w:val="FFFFFF"/>
                <w:sz w:val="18"/>
                <w:szCs w:val="18"/>
              </w:rPr>
              <w:br/>
              <w:t>2025/2024</w:t>
            </w:r>
          </w:p>
        </w:tc>
      </w:tr>
      <w:tr w:rsidR="003073A4">
        <w:trPr>
          <w:trHeight w:val="343"/>
        </w:trPr>
        <w:tc>
          <w:tcPr>
            <w:tcW w:w="5101" w:type="dxa"/>
            <w:shd w:val="clear" w:color="auto" w:fill="44536A"/>
          </w:tcPr>
          <w:p w:rsidR="003073A4" w:rsidRDefault="000545DD">
            <w:pPr>
              <w:spacing w:before="4"/>
              <w:ind w:left="1727"/>
              <w:jc w:val="center"/>
              <w:rPr>
                <w:b/>
                <w:bCs/>
                <w:color w:val="FFFFFF"/>
                <w:sz w:val="18"/>
                <w:szCs w:val="18"/>
              </w:rPr>
            </w:pPr>
            <w:r>
              <w:rPr>
                <w:b/>
                <w:bCs/>
                <w:color w:val="FFFFFF"/>
                <w:sz w:val="18"/>
                <w:szCs w:val="18"/>
              </w:rPr>
              <w:t>INVESTIMENTOS TOTAIS</w:t>
            </w:r>
          </w:p>
        </w:tc>
        <w:tc>
          <w:tcPr>
            <w:tcW w:w="1313" w:type="dxa"/>
            <w:shd w:val="clear" w:color="auto" w:fill="44536A"/>
            <w:vAlign w:val="center"/>
          </w:tcPr>
          <w:p w:rsidR="003073A4" w:rsidRDefault="000545DD">
            <w:pPr>
              <w:spacing w:line="229" w:lineRule="auto"/>
              <w:ind w:left="136" w:right="124"/>
              <w:jc w:val="center"/>
              <w:rPr>
                <w:b/>
                <w:bCs/>
                <w:color w:val="FFFFFF"/>
                <w:sz w:val="19"/>
                <w:szCs w:val="19"/>
              </w:rPr>
            </w:pPr>
            <w:r>
              <w:rPr>
                <w:b/>
                <w:bCs/>
                <w:color w:val="FFFFFF"/>
                <w:sz w:val="19"/>
                <w:szCs w:val="19"/>
              </w:rPr>
              <w:t>5.928.692</w:t>
            </w:r>
          </w:p>
        </w:tc>
        <w:tc>
          <w:tcPr>
            <w:tcW w:w="1370" w:type="dxa"/>
            <w:shd w:val="clear" w:color="auto" w:fill="44536A"/>
            <w:vAlign w:val="center"/>
          </w:tcPr>
          <w:p w:rsidR="003073A4" w:rsidRDefault="000545DD">
            <w:pPr>
              <w:spacing w:line="229" w:lineRule="auto"/>
              <w:ind w:left="131" w:right="124"/>
              <w:jc w:val="center"/>
              <w:rPr>
                <w:b/>
                <w:bCs/>
                <w:color w:val="FFFFFF"/>
                <w:sz w:val="19"/>
                <w:szCs w:val="19"/>
              </w:rPr>
            </w:pPr>
            <w:r>
              <w:rPr>
                <w:b/>
                <w:bCs/>
                <w:color w:val="FFFFFF"/>
                <w:sz w:val="19"/>
                <w:szCs w:val="19"/>
              </w:rPr>
              <w:t>15.945.478</w:t>
            </w:r>
          </w:p>
        </w:tc>
        <w:tc>
          <w:tcPr>
            <w:tcW w:w="1136" w:type="dxa"/>
            <w:shd w:val="clear" w:color="auto" w:fill="44536A"/>
            <w:vAlign w:val="center"/>
          </w:tcPr>
          <w:p w:rsidR="003073A4" w:rsidRDefault="000545DD">
            <w:pPr>
              <w:spacing w:before="1"/>
              <w:ind w:left="131" w:right="124"/>
              <w:jc w:val="center"/>
              <w:rPr>
                <w:b/>
                <w:bCs/>
                <w:color w:val="FFFFFF"/>
                <w:sz w:val="19"/>
                <w:szCs w:val="19"/>
              </w:rPr>
            </w:pPr>
            <w:r>
              <w:rPr>
                <w:b/>
                <w:bCs/>
                <w:color w:val="FFFFFF"/>
                <w:sz w:val="19"/>
                <w:szCs w:val="19"/>
              </w:rPr>
              <w:t>168,95%</w:t>
            </w:r>
          </w:p>
        </w:tc>
      </w:tr>
      <w:tr w:rsidR="003073A4">
        <w:trPr>
          <w:trHeight w:val="357"/>
        </w:trPr>
        <w:tc>
          <w:tcPr>
            <w:tcW w:w="5101" w:type="dxa"/>
            <w:shd w:val="clear" w:color="auto" w:fill="44536A"/>
          </w:tcPr>
          <w:p w:rsidR="003073A4" w:rsidRDefault="000545DD">
            <w:pPr>
              <w:spacing w:before="8"/>
              <w:jc w:val="center"/>
              <w:rPr>
                <w:b/>
                <w:bCs/>
                <w:color w:val="FFFFFF"/>
                <w:sz w:val="18"/>
                <w:szCs w:val="18"/>
              </w:rPr>
            </w:pPr>
            <w:r>
              <w:rPr>
                <w:b/>
                <w:bCs/>
                <w:color w:val="FFFFFF"/>
                <w:sz w:val="18"/>
                <w:szCs w:val="18"/>
              </w:rPr>
              <w:t>RECURSOS PRÓPRIOS</w:t>
            </w:r>
          </w:p>
        </w:tc>
        <w:tc>
          <w:tcPr>
            <w:tcW w:w="1313" w:type="dxa"/>
            <w:shd w:val="clear" w:color="auto" w:fill="44536A"/>
            <w:vAlign w:val="center"/>
          </w:tcPr>
          <w:p w:rsidR="003073A4" w:rsidRDefault="000545DD">
            <w:pPr>
              <w:spacing w:before="1"/>
              <w:ind w:left="136" w:right="124"/>
              <w:jc w:val="center"/>
              <w:rPr>
                <w:b/>
                <w:bCs/>
                <w:color w:val="FFFFFF"/>
                <w:sz w:val="19"/>
                <w:szCs w:val="19"/>
              </w:rPr>
            </w:pPr>
            <w:r>
              <w:rPr>
                <w:b/>
                <w:bCs/>
                <w:color w:val="FFFFFF"/>
                <w:sz w:val="19"/>
                <w:szCs w:val="19"/>
              </w:rPr>
              <w:t>5.928.692</w:t>
            </w:r>
          </w:p>
        </w:tc>
        <w:tc>
          <w:tcPr>
            <w:tcW w:w="1370" w:type="dxa"/>
            <w:shd w:val="clear" w:color="auto" w:fill="44536A"/>
            <w:vAlign w:val="center"/>
          </w:tcPr>
          <w:p w:rsidR="003073A4" w:rsidRDefault="000545DD">
            <w:pPr>
              <w:spacing w:before="1"/>
              <w:ind w:left="131" w:right="124"/>
              <w:jc w:val="center"/>
              <w:rPr>
                <w:b/>
                <w:bCs/>
                <w:color w:val="FFFFFF"/>
                <w:sz w:val="19"/>
                <w:szCs w:val="19"/>
              </w:rPr>
            </w:pPr>
            <w:r>
              <w:rPr>
                <w:b/>
                <w:bCs/>
                <w:color w:val="FFFFFF"/>
                <w:sz w:val="19"/>
                <w:szCs w:val="19"/>
              </w:rPr>
              <w:t>15.945.478</w:t>
            </w:r>
          </w:p>
        </w:tc>
        <w:tc>
          <w:tcPr>
            <w:tcW w:w="1136" w:type="dxa"/>
            <w:shd w:val="clear" w:color="auto" w:fill="44536A"/>
            <w:vAlign w:val="center"/>
          </w:tcPr>
          <w:p w:rsidR="003073A4" w:rsidRDefault="000545DD">
            <w:pPr>
              <w:spacing w:before="1"/>
              <w:ind w:left="131" w:right="124"/>
              <w:jc w:val="center"/>
              <w:rPr>
                <w:b/>
                <w:bCs/>
                <w:color w:val="FFFFFF"/>
                <w:sz w:val="19"/>
                <w:szCs w:val="19"/>
              </w:rPr>
            </w:pPr>
            <w:r>
              <w:rPr>
                <w:b/>
                <w:bCs/>
                <w:color w:val="FFFFFF"/>
                <w:sz w:val="19"/>
                <w:szCs w:val="19"/>
              </w:rPr>
              <w:t>168,95%</w:t>
            </w:r>
          </w:p>
        </w:tc>
      </w:tr>
      <w:tr w:rsidR="003073A4">
        <w:trPr>
          <w:trHeight w:val="357"/>
        </w:trPr>
        <w:tc>
          <w:tcPr>
            <w:tcW w:w="5101" w:type="dxa"/>
            <w:shd w:val="clear" w:color="auto" w:fill="8496AF"/>
            <w:vAlign w:val="center"/>
          </w:tcPr>
          <w:p w:rsidR="003073A4" w:rsidRDefault="000545DD">
            <w:pPr>
              <w:spacing w:before="11"/>
              <w:ind w:left="69"/>
              <w:rPr>
                <w:b/>
                <w:bCs/>
                <w:color w:val="FF0000"/>
                <w:sz w:val="19"/>
                <w:szCs w:val="19"/>
              </w:rPr>
            </w:pPr>
            <w:r>
              <w:rPr>
                <w:b/>
                <w:bCs/>
                <w:sz w:val="19"/>
                <w:szCs w:val="19"/>
              </w:rPr>
              <w:t>Manutenção e adequação de bens imóveis</w:t>
            </w:r>
          </w:p>
        </w:tc>
        <w:tc>
          <w:tcPr>
            <w:tcW w:w="1313" w:type="dxa"/>
            <w:shd w:val="clear" w:color="auto" w:fill="BEBEBE"/>
            <w:vAlign w:val="center"/>
          </w:tcPr>
          <w:p w:rsidR="003073A4" w:rsidRDefault="000545DD">
            <w:pPr>
              <w:spacing w:before="18"/>
              <w:ind w:left="139" w:right="122"/>
              <w:jc w:val="center"/>
              <w:rPr>
                <w:color w:val="FF0000"/>
                <w:sz w:val="18"/>
                <w:szCs w:val="18"/>
              </w:rPr>
            </w:pPr>
            <w:r>
              <w:rPr>
                <w:sz w:val="18"/>
                <w:szCs w:val="18"/>
              </w:rPr>
              <w:t>493.172</w:t>
            </w:r>
          </w:p>
        </w:tc>
        <w:tc>
          <w:tcPr>
            <w:tcW w:w="1370" w:type="dxa"/>
            <w:shd w:val="clear" w:color="auto" w:fill="BEBEBE"/>
            <w:vAlign w:val="center"/>
          </w:tcPr>
          <w:p w:rsidR="003073A4" w:rsidRDefault="000545DD">
            <w:pPr>
              <w:spacing w:before="18"/>
              <w:ind w:left="302" w:right="285"/>
              <w:jc w:val="center"/>
              <w:rPr>
                <w:color w:val="FF0000"/>
                <w:sz w:val="18"/>
                <w:szCs w:val="18"/>
              </w:rPr>
            </w:pPr>
            <w:r>
              <w:rPr>
                <w:sz w:val="18"/>
                <w:szCs w:val="18"/>
              </w:rPr>
              <w:t>2.229.248</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352%</w:t>
            </w:r>
          </w:p>
        </w:tc>
      </w:tr>
      <w:tr w:rsidR="003073A4">
        <w:trPr>
          <w:trHeight w:val="579"/>
        </w:trPr>
        <w:tc>
          <w:tcPr>
            <w:tcW w:w="5101" w:type="dxa"/>
            <w:shd w:val="clear" w:color="auto" w:fill="8496AF"/>
            <w:vAlign w:val="center"/>
          </w:tcPr>
          <w:p w:rsidR="003073A4" w:rsidRDefault="000545DD">
            <w:pPr>
              <w:spacing w:before="3"/>
              <w:ind w:left="69"/>
              <w:rPr>
                <w:b/>
                <w:bCs/>
                <w:color w:val="FF0000"/>
                <w:sz w:val="19"/>
                <w:szCs w:val="19"/>
              </w:rPr>
            </w:pPr>
            <w:r>
              <w:rPr>
                <w:b/>
                <w:bCs/>
                <w:sz w:val="19"/>
                <w:szCs w:val="19"/>
              </w:rPr>
              <w:t>Manutenção e adequação de bens móveis, veículos, máquinas e equipamentos</w:t>
            </w:r>
          </w:p>
        </w:tc>
        <w:tc>
          <w:tcPr>
            <w:tcW w:w="1313" w:type="dxa"/>
            <w:shd w:val="clear" w:color="auto" w:fill="BEBEBE"/>
            <w:vAlign w:val="center"/>
          </w:tcPr>
          <w:p w:rsidR="003073A4" w:rsidRDefault="000545DD">
            <w:pPr>
              <w:ind w:right="122" w:firstLine="138"/>
              <w:jc w:val="center"/>
              <w:rPr>
                <w:color w:val="FF0000"/>
                <w:sz w:val="18"/>
                <w:szCs w:val="18"/>
              </w:rPr>
            </w:pPr>
            <w:r>
              <w:rPr>
                <w:sz w:val="18"/>
                <w:szCs w:val="18"/>
              </w:rPr>
              <w:t>264.092</w:t>
            </w:r>
          </w:p>
        </w:tc>
        <w:tc>
          <w:tcPr>
            <w:tcW w:w="1370" w:type="dxa"/>
            <w:shd w:val="clear" w:color="auto" w:fill="BEBEBE"/>
            <w:vAlign w:val="center"/>
          </w:tcPr>
          <w:p w:rsidR="003073A4" w:rsidRDefault="000545DD">
            <w:pPr>
              <w:spacing w:before="8"/>
              <w:ind w:left="302" w:right="285"/>
              <w:jc w:val="center"/>
              <w:rPr>
                <w:color w:val="FF0000"/>
                <w:sz w:val="15"/>
                <w:szCs w:val="15"/>
              </w:rPr>
            </w:pPr>
            <w:r>
              <w:rPr>
                <w:sz w:val="18"/>
                <w:szCs w:val="18"/>
              </w:rPr>
              <w:t>357.684</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35%</w:t>
            </w:r>
          </w:p>
        </w:tc>
      </w:tr>
      <w:tr w:rsidR="003073A4">
        <w:trPr>
          <w:trHeight w:val="172"/>
        </w:trPr>
        <w:tc>
          <w:tcPr>
            <w:tcW w:w="5101" w:type="dxa"/>
            <w:shd w:val="clear" w:color="auto" w:fill="8496AF"/>
            <w:vAlign w:val="center"/>
          </w:tcPr>
          <w:p w:rsidR="003073A4" w:rsidRDefault="000545DD">
            <w:pPr>
              <w:spacing w:before="1"/>
              <w:ind w:left="69"/>
              <w:rPr>
                <w:b/>
                <w:bCs/>
                <w:color w:val="FF0000"/>
                <w:sz w:val="19"/>
                <w:szCs w:val="19"/>
              </w:rPr>
            </w:pPr>
            <w:r>
              <w:rPr>
                <w:b/>
                <w:bCs/>
                <w:sz w:val="19"/>
                <w:szCs w:val="19"/>
              </w:rPr>
              <w:t>Manutenção e adequação de ativos de informática, informação e teleprocessamento</w:t>
            </w:r>
          </w:p>
        </w:tc>
        <w:tc>
          <w:tcPr>
            <w:tcW w:w="1313" w:type="dxa"/>
            <w:shd w:val="clear" w:color="auto" w:fill="BEBEBE"/>
            <w:vAlign w:val="center"/>
          </w:tcPr>
          <w:p w:rsidR="003073A4" w:rsidRDefault="000545DD">
            <w:pPr>
              <w:ind w:right="122" w:firstLine="138"/>
              <w:jc w:val="center"/>
              <w:rPr>
                <w:color w:val="FF0000"/>
                <w:sz w:val="18"/>
                <w:szCs w:val="18"/>
              </w:rPr>
            </w:pPr>
            <w:r>
              <w:rPr>
                <w:sz w:val="18"/>
                <w:szCs w:val="18"/>
              </w:rPr>
              <w:t>106.162</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77.570</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-27%</w:t>
            </w:r>
          </w:p>
        </w:tc>
      </w:tr>
      <w:tr w:rsidR="003073A4">
        <w:trPr>
          <w:trHeight w:val="347"/>
        </w:trPr>
        <w:tc>
          <w:tcPr>
            <w:tcW w:w="5101" w:type="dxa"/>
            <w:shd w:val="clear" w:color="auto" w:fill="8496AF"/>
            <w:vAlign w:val="center"/>
          </w:tcPr>
          <w:p w:rsidR="003073A4" w:rsidRDefault="000545DD">
            <w:pPr>
              <w:spacing w:before="1"/>
              <w:ind w:left="69"/>
              <w:rPr>
                <w:b/>
                <w:bCs/>
                <w:color w:val="FF0000"/>
                <w:sz w:val="19"/>
                <w:szCs w:val="19"/>
              </w:rPr>
            </w:pPr>
            <w:r>
              <w:rPr>
                <w:b/>
                <w:bCs/>
                <w:sz w:val="19"/>
                <w:szCs w:val="19"/>
              </w:rPr>
              <w:t>Estudos para o desenvolvimento do setor portuário</w:t>
            </w:r>
          </w:p>
        </w:tc>
        <w:tc>
          <w:tcPr>
            <w:tcW w:w="1313" w:type="dxa"/>
            <w:shd w:val="clear" w:color="auto" w:fill="BEBEBE"/>
            <w:vAlign w:val="center"/>
          </w:tcPr>
          <w:p w:rsidR="003073A4" w:rsidRDefault="000545DD">
            <w:pPr>
              <w:spacing w:before="8"/>
              <w:ind w:left="139" w:right="122"/>
              <w:jc w:val="center"/>
              <w:rPr>
                <w:color w:val="FF0000"/>
                <w:sz w:val="18"/>
                <w:szCs w:val="18"/>
              </w:rPr>
            </w:pPr>
            <w:r>
              <w:rPr>
                <w:sz w:val="18"/>
                <w:szCs w:val="18"/>
              </w:rPr>
              <w:t>320.854</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856.587</w:t>
            </w:r>
          </w:p>
        </w:tc>
        <w:tc>
          <w:tcPr>
            <w:tcW w:w="1136" w:type="dxa"/>
            <w:shd w:val="clear" w:color="auto" w:fill="BEBEBE"/>
            <w:vAlign w:val="center"/>
          </w:tcPr>
          <w:p w:rsidR="003073A4" w:rsidRDefault="000545DD">
            <w:pPr>
              <w:pBdr>
                <w:top w:val="nil"/>
                <w:left w:val="nil"/>
                <w:bottom w:val="nil"/>
                <w:right w:val="nil"/>
                <w:between w:val="nil"/>
              </w:pBdr>
              <w:spacing w:before="8"/>
              <w:ind w:left="302" w:right="285"/>
              <w:jc w:val="center"/>
              <w:rPr>
                <w:sz w:val="18"/>
                <w:szCs w:val="18"/>
              </w:rPr>
            </w:pPr>
            <w:r>
              <w:rPr>
                <w:sz w:val="18"/>
                <w:szCs w:val="18"/>
              </w:rPr>
              <w:t>167%</w:t>
            </w:r>
          </w:p>
        </w:tc>
      </w:tr>
      <w:tr w:rsidR="003073A4">
        <w:trPr>
          <w:trHeight w:val="347"/>
        </w:trPr>
        <w:tc>
          <w:tcPr>
            <w:tcW w:w="5101" w:type="dxa"/>
            <w:shd w:val="clear" w:color="auto" w:fill="8496AF"/>
            <w:vAlign w:val="center"/>
          </w:tcPr>
          <w:p w:rsidR="003073A4" w:rsidRDefault="000545DD">
            <w:pPr>
              <w:spacing w:before="1"/>
              <w:ind w:left="69"/>
              <w:rPr>
                <w:b/>
                <w:bCs/>
                <w:color w:val="FF0000"/>
                <w:sz w:val="19"/>
                <w:szCs w:val="19"/>
              </w:rPr>
            </w:pPr>
            <w:r>
              <w:rPr>
                <w:b/>
                <w:bCs/>
                <w:sz w:val="19"/>
                <w:szCs w:val="19"/>
              </w:rPr>
              <w:t>Estudos e projetos para infraestrutura portuária</w:t>
            </w:r>
          </w:p>
        </w:tc>
        <w:tc>
          <w:tcPr>
            <w:tcW w:w="1313" w:type="dxa"/>
            <w:shd w:val="clear" w:color="auto" w:fill="BEBEBE"/>
            <w:vAlign w:val="center"/>
          </w:tcPr>
          <w:p w:rsidR="003073A4" w:rsidRDefault="000545DD">
            <w:pPr>
              <w:spacing w:before="8"/>
              <w:ind w:left="139" w:right="122"/>
              <w:jc w:val="center"/>
              <w:rPr>
                <w:color w:val="FF0000"/>
                <w:sz w:val="18"/>
                <w:szCs w:val="18"/>
              </w:rPr>
            </w:pPr>
            <w:r>
              <w:rPr>
                <w:sz w:val="18"/>
                <w:szCs w:val="18"/>
              </w:rPr>
              <w:t>971.332</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2.212.676</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128%</w:t>
            </w:r>
          </w:p>
        </w:tc>
      </w:tr>
      <w:tr w:rsidR="003073A4">
        <w:trPr>
          <w:trHeight w:val="347"/>
        </w:trPr>
        <w:tc>
          <w:tcPr>
            <w:tcW w:w="5101" w:type="dxa"/>
            <w:shd w:val="clear" w:color="auto" w:fill="8496AF"/>
            <w:vAlign w:val="center"/>
          </w:tcPr>
          <w:p w:rsidR="003073A4" w:rsidRDefault="000545DD">
            <w:pPr>
              <w:spacing w:before="1"/>
              <w:ind w:left="69"/>
              <w:rPr>
                <w:b/>
                <w:bCs/>
                <w:color w:val="FF0000"/>
                <w:sz w:val="19"/>
                <w:szCs w:val="19"/>
              </w:rPr>
            </w:pPr>
            <w:r>
              <w:rPr>
                <w:b/>
                <w:bCs/>
                <w:sz w:val="19"/>
                <w:szCs w:val="19"/>
              </w:rPr>
              <w:t>Adequação de instalações de acostagem, de movimentação e armazenagem de cargas</w:t>
            </w:r>
          </w:p>
        </w:tc>
        <w:tc>
          <w:tcPr>
            <w:tcW w:w="1313" w:type="dxa"/>
            <w:shd w:val="clear" w:color="auto" w:fill="BEBEBE"/>
            <w:vAlign w:val="center"/>
          </w:tcPr>
          <w:p w:rsidR="003073A4" w:rsidRDefault="000545DD">
            <w:pPr>
              <w:spacing w:before="8"/>
              <w:ind w:left="139" w:right="122"/>
              <w:jc w:val="center"/>
              <w:rPr>
                <w:color w:val="FF0000"/>
                <w:sz w:val="18"/>
                <w:szCs w:val="18"/>
              </w:rPr>
            </w:pPr>
            <w:r>
              <w:rPr>
                <w:sz w:val="18"/>
                <w:szCs w:val="18"/>
              </w:rPr>
              <w:t>749.007</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884.454</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18%</w:t>
            </w:r>
          </w:p>
        </w:tc>
      </w:tr>
      <w:tr w:rsidR="003073A4">
        <w:trPr>
          <w:trHeight w:val="347"/>
        </w:trPr>
        <w:tc>
          <w:tcPr>
            <w:tcW w:w="5101" w:type="dxa"/>
            <w:shd w:val="clear" w:color="auto" w:fill="8496AF"/>
            <w:vAlign w:val="center"/>
          </w:tcPr>
          <w:p w:rsidR="003073A4" w:rsidRDefault="000545DD">
            <w:pPr>
              <w:spacing w:before="1"/>
              <w:ind w:left="69"/>
              <w:rPr>
                <w:b/>
                <w:bCs/>
                <w:color w:val="FF0000"/>
                <w:sz w:val="19"/>
                <w:szCs w:val="19"/>
              </w:rPr>
            </w:pPr>
            <w:r>
              <w:rPr>
                <w:b/>
                <w:bCs/>
                <w:sz w:val="19"/>
                <w:szCs w:val="19"/>
              </w:rPr>
              <w:t>Adequação de instalações gerais e de suprimentos no Porto de Fortaleza (CE)</w:t>
            </w:r>
          </w:p>
        </w:tc>
        <w:tc>
          <w:tcPr>
            <w:tcW w:w="1313" w:type="dxa"/>
            <w:shd w:val="clear" w:color="auto" w:fill="BEBEBE"/>
            <w:vAlign w:val="center"/>
          </w:tcPr>
          <w:p w:rsidR="003073A4" w:rsidRDefault="000545DD">
            <w:pPr>
              <w:spacing w:before="8"/>
              <w:ind w:left="139" w:right="122"/>
              <w:jc w:val="center"/>
              <w:rPr>
                <w:color w:val="FF0000"/>
                <w:sz w:val="18"/>
                <w:szCs w:val="18"/>
              </w:rPr>
            </w:pPr>
            <w:r>
              <w:rPr>
                <w:sz w:val="18"/>
                <w:szCs w:val="18"/>
              </w:rPr>
              <w:t>1.605.491</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7.852.610</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389%</w:t>
            </w:r>
          </w:p>
        </w:tc>
      </w:tr>
      <w:tr w:rsidR="003073A4">
        <w:trPr>
          <w:trHeight w:val="60"/>
        </w:trPr>
        <w:tc>
          <w:tcPr>
            <w:tcW w:w="5101" w:type="dxa"/>
            <w:shd w:val="clear" w:color="auto" w:fill="8496AF"/>
            <w:vAlign w:val="center"/>
          </w:tcPr>
          <w:p w:rsidR="003073A4" w:rsidRDefault="000545DD">
            <w:pPr>
              <w:spacing w:before="13"/>
              <w:ind w:left="69"/>
              <w:rPr>
                <w:b/>
                <w:bCs/>
                <w:color w:val="FF0000"/>
                <w:sz w:val="19"/>
                <w:szCs w:val="19"/>
              </w:rPr>
            </w:pPr>
            <w:r>
              <w:rPr>
                <w:b/>
                <w:bCs/>
                <w:sz w:val="19"/>
                <w:szCs w:val="19"/>
              </w:rPr>
              <w:t>Adequação de instalações de proteção à atracação e operação de navios, no Porto de Fortaleza (CE)</w:t>
            </w:r>
          </w:p>
        </w:tc>
        <w:tc>
          <w:tcPr>
            <w:tcW w:w="1313" w:type="dxa"/>
            <w:shd w:val="clear" w:color="auto" w:fill="BEBEBE"/>
            <w:vAlign w:val="center"/>
          </w:tcPr>
          <w:p w:rsidR="003073A4" w:rsidRDefault="000545DD">
            <w:pPr>
              <w:spacing w:before="8"/>
              <w:ind w:left="139" w:right="122"/>
              <w:jc w:val="center"/>
              <w:rPr>
                <w:color w:val="FF0000"/>
                <w:sz w:val="18"/>
                <w:szCs w:val="18"/>
              </w:rPr>
            </w:pPr>
            <w:r>
              <w:rPr>
                <w:sz w:val="18"/>
                <w:szCs w:val="18"/>
              </w:rPr>
              <w:t>1.418.582</w:t>
            </w:r>
          </w:p>
        </w:tc>
        <w:tc>
          <w:tcPr>
            <w:tcW w:w="1370" w:type="dxa"/>
            <w:shd w:val="clear" w:color="auto" w:fill="BEBEBE"/>
            <w:vAlign w:val="center"/>
          </w:tcPr>
          <w:p w:rsidR="003073A4" w:rsidRDefault="000545DD">
            <w:pPr>
              <w:spacing w:before="8"/>
              <w:ind w:left="302" w:right="285"/>
              <w:jc w:val="center"/>
              <w:rPr>
                <w:color w:val="FF0000"/>
                <w:sz w:val="18"/>
                <w:szCs w:val="18"/>
              </w:rPr>
            </w:pPr>
            <w:r>
              <w:rPr>
                <w:sz w:val="18"/>
                <w:szCs w:val="18"/>
              </w:rPr>
              <w:t>1.474.649</w:t>
            </w:r>
          </w:p>
        </w:tc>
        <w:tc>
          <w:tcPr>
            <w:tcW w:w="1136" w:type="dxa"/>
            <w:shd w:val="clear" w:color="auto" w:fill="BEBEBE"/>
            <w:vAlign w:val="center"/>
          </w:tcPr>
          <w:p w:rsidR="003073A4" w:rsidRDefault="000545DD">
            <w:pPr>
              <w:spacing w:before="8"/>
              <w:ind w:left="302" w:right="285"/>
              <w:jc w:val="center"/>
              <w:rPr>
                <w:color w:val="FF0000"/>
                <w:sz w:val="18"/>
                <w:szCs w:val="18"/>
              </w:rPr>
            </w:pPr>
            <w:r>
              <w:rPr>
                <w:sz w:val="18"/>
                <w:szCs w:val="18"/>
              </w:rPr>
              <w:t>4%</w:t>
            </w:r>
          </w:p>
        </w:tc>
      </w:tr>
    </w:tbl>
    <w:p w:rsidR="003073A4" w:rsidRDefault="000545DD">
      <w:pPr>
        <w:spacing w:line="219" w:lineRule="auto"/>
        <w:ind w:left="262" w:hanging="262"/>
        <w:rPr>
          <w:color w:val="000000"/>
          <w:sz w:val="18"/>
          <w:szCs w:val="18"/>
        </w:rPr>
      </w:pPr>
      <w:r>
        <w:rPr>
          <w:color w:val="000000"/>
          <w:sz w:val="18"/>
          <w:szCs w:val="18"/>
        </w:rPr>
        <w:t>Fonte: CODPLA - Coordenadoria de Planejamento Estratégico (2026)</w:t>
      </w:r>
    </w:p>
    <w:p w:rsidR="003073A4" w:rsidRDefault="003073A4">
      <w:pPr>
        <w:pBdr>
          <w:top w:val="nil"/>
          <w:left w:val="nil"/>
          <w:bottom w:val="nil"/>
          <w:right w:val="nil"/>
          <w:between w:val="nil"/>
        </w:pBdr>
        <w:tabs>
          <w:tab w:val="left" w:pos="930"/>
        </w:tabs>
        <w:spacing w:line="360" w:lineRule="auto"/>
        <w:ind w:left="284" w:right="194"/>
        <w:jc w:val="both"/>
        <w:rPr>
          <w:color w:val="FF0000"/>
          <w:sz w:val="10"/>
          <w:szCs w:val="10"/>
        </w:rPr>
      </w:pPr>
    </w:p>
    <w:p w:rsidR="003073A4" w:rsidRDefault="000545DD">
      <w:pPr>
        <w:pBdr>
          <w:top w:val="nil"/>
          <w:left w:val="nil"/>
          <w:bottom w:val="nil"/>
          <w:right w:val="nil"/>
          <w:between w:val="nil"/>
        </w:pBdr>
        <w:spacing w:before="120" w:after="120" w:line="360" w:lineRule="auto"/>
        <w:jc w:val="both"/>
        <w:rPr>
          <w:color w:val="000000"/>
        </w:rPr>
      </w:pPr>
      <w:r>
        <w:rPr>
          <w:color w:val="000000"/>
        </w:rPr>
        <w:t>Os investimentos realizados pela CDC estão alinhados aos objetivos definidos na Política Nacional de Transportes (PNT), às diretrizes do Plano Plurianual da União para o período de 2024 a 2027 (PPA 2024-2027) e às diretrizes do Plano Nacional de Logística (PNL), assim como aos objetivos sinalizados no Plano Mestre do Complexo Portuário de Fortaleza e Pecém, conforme tabela abaixo:</w:t>
      </w:r>
    </w:p>
    <w:p w:rsidR="003073A4" w:rsidRDefault="000545DD">
      <w:pPr>
        <w:pBdr>
          <w:top w:val="nil"/>
          <w:left w:val="nil"/>
          <w:bottom w:val="nil"/>
          <w:right w:val="nil"/>
          <w:between w:val="nil"/>
        </w:pBdr>
        <w:spacing w:before="120" w:after="120" w:line="360" w:lineRule="auto"/>
        <w:jc w:val="both"/>
        <w:rPr>
          <w:color w:val="000000"/>
          <w:sz w:val="18"/>
          <w:szCs w:val="18"/>
        </w:rPr>
      </w:pPr>
      <w:r>
        <w:rPr>
          <w:color w:val="000000"/>
          <w:sz w:val="18"/>
          <w:szCs w:val="18"/>
        </w:rPr>
        <w:t>Tabela 3 - Relação entre investimentos e políticas públicas</w:t>
      </w:r>
    </w:p>
    <w:tbl>
      <w:tblPr>
        <w:tblStyle w:val="a5"/>
        <w:tblW w:w="89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284"/>
        <w:gridCol w:w="1356"/>
        <w:gridCol w:w="1192"/>
        <w:gridCol w:w="3390"/>
      </w:tblGrid>
      <w:tr w:rsidR="003073A4">
        <w:trPr>
          <w:trHeight w:val="246"/>
          <w:jc w:val="center"/>
        </w:trPr>
        <w:tc>
          <w:tcPr>
            <w:tcW w:w="1698" w:type="dxa"/>
            <w:shd w:val="clear" w:color="auto" w:fill="44536A"/>
            <w:vAlign w:val="center"/>
          </w:tcPr>
          <w:p w:rsidR="003073A4" w:rsidRDefault="000545DD">
            <w:pPr>
              <w:pBdr>
                <w:top w:val="nil"/>
                <w:left w:val="nil"/>
                <w:bottom w:val="nil"/>
                <w:right w:val="nil"/>
                <w:between w:val="nil"/>
              </w:pBdr>
              <w:spacing w:before="13" w:line="214" w:lineRule="auto"/>
              <w:jc w:val="center"/>
              <w:rPr>
                <w:b/>
                <w:bCs/>
                <w:color w:val="FFFFFF"/>
                <w:sz w:val="18"/>
                <w:szCs w:val="18"/>
              </w:rPr>
            </w:pPr>
            <w:r>
              <w:rPr>
                <w:b/>
                <w:bCs/>
                <w:color w:val="FFFFFF"/>
                <w:sz w:val="20"/>
                <w:szCs w:val="20"/>
              </w:rPr>
              <w:t>Ação / Projeto</w:t>
            </w:r>
          </w:p>
        </w:tc>
        <w:tc>
          <w:tcPr>
            <w:tcW w:w="1284" w:type="dxa"/>
            <w:shd w:val="clear" w:color="auto" w:fill="44536A"/>
            <w:vAlign w:val="center"/>
          </w:tcPr>
          <w:p w:rsidR="003073A4" w:rsidRDefault="000545DD">
            <w:pPr>
              <w:widowControl/>
              <w:jc w:val="center"/>
              <w:rPr>
                <w:b/>
                <w:bCs/>
                <w:color w:val="FFFFFF"/>
                <w:sz w:val="20"/>
                <w:szCs w:val="20"/>
              </w:rPr>
            </w:pPr>
            <w:r>
              <w:rPr>
                <w:b/>
                <w:bCs/>
                <w:color w:val="FFFFFF"/>
                <w:sz w:val="20"/>
                <w:szCs w:val="20"/>
              </w:rPr>
              <w:t>Investimento</w:t>
            </w:r>
          </w:p>
          <w:p w:rsidR="003073A4" w:rsidRDefault="000545DD">
            <w:pPr>
              <w:widowControl/>
              <w:jc w:val="center"/>
              <w:rPr>
                <w:b/>
                <w:bCs/>
                <w:color w:val="FFFFFF"/>
                <w:sz w:val="20"/>
                <w:szCs w:val="20"/>
              </w:rPr>
            </w:pPr>
            <w:r>
              <w:rPr>
                <w:b/>
                <w:bCs/>
                <w:color w:val="FFFFFF"/>
                <w:sz w:val="20"/>
                <w:szCs w:val="20"/>
              </w:rPr>
              <w:t>em 2025</w:t>
            </w:r>
          </w:p>
          <w:p w:rsidR="003073A4" w:rsidRDefault="000545DD">
            <w:pPr>
              <w:pBdr>
                <w:top w:val="nil"/>
                <w:left w:val="nil"/>
                <w:bottom w:val="nil"/>
                <w:right w:val="nil"/>
                <w:between w:val="nil"/>
              </w:pBdr>
              <w:spacing w:before="13" w:line="214" w:lineRule="auto"/>
              <w:ind w:left="30" w:right="33"/>
              <w:jc w:val="center"/>
              <w:rPr>
                <w:b/>
                <w:bCs/>
                <w:color w:val="FFFFFF"/>
                <w:sz w:val="18"/>
                <w:szCs w:val="18"/>
              </w:rPr>
            </w:pPr>
            <w:r>
              <w:rPr>
                <w:b/>
                <w:bCs/>
                <w:color w:val="FFFFFF"/>
                <w:sz w:val="20"/>
                <w:szCs w:val="20"/>
              </w:rPr>
              <w:t>(R$)</w:t>
            </w:r>
          </w:p>
        </w:tc>
        <w:tc>
          <w:tcPr>
            <w:tcW w:w="1356" w:type="dxa"/>
            <w:shd w:val="clear" w:color="auto" w:fill="44536A"/>
            <w:vAlign w:val="center"/>
          </w:tcPr>
          <w:p w:rsidR="003073A4" w:rsidRDefault="000545DD">
            <w:pPr>
              <w:pBdr>
                <w:top w:val="nil"/>
                <w:left w:val="nil"/>
                <w:bottom w:val="nil"/>
                <w:right w:val="nil"/>
                <w:between w:val="nil"/>
              </w:pBdr>
              <w:spacing w:before="13" w:line="214" w:lineRule="auto"/>
              <w:ind w:left="35" w:right="35"/>
              <w:jc w:val="center"/>
              <w:rPr>
                <w:b/>
                <w:bCs/>
                <w:color w:val="FFFFFF"/>
                <w:sz w:val="18"/>
                <w:szCs w:val="18"/>
              </w:rPr>
            </w:pPr>
            <w:r>
              <w:rPr>
                <w:b/>
                <w:bCs/>
                <w:color w:val="FFFFFF"/>
                <w:sz w:val="20"/>
                <w:szCs w:val="20"/>
              </w:rPr>
              <w:t>Dimensão do Planejamento Estratégico (2025-2029)</w:t>
            </w:r>
          </w:p>
        </w:tc>
        <w:tc>
          <w:tcPr>
            <w:tcW w:w="1192" w:type="dxa"/>
            <w:shd w:val="clear" w:color="auto" w:fill="44536A"/>
            <w:vAlign w:val="center"/>
          </w:tcPr>
          <w:p w:rsidR="003073A4" w:rsidRDefault="000545DD">
            <w:pPr>
              <w:pBdr>
                <w:top w:val="nil"/>
                <w:left w:val="nil"/>
                <w:bottom w:val="nil"/>
                <w:right w:val="nil"/>
                <w:between w:val="nil"/>
              </w:pBdr>
              <w:spacing w:before="13" w:line="214" w:lineRule="auto"/>
              <w:ind w:left="33" w:right="33"/>
              <w:jc w:val="center"/>
              <w:rPr>
                <w:b/>
                <w:bCs/>
                <w:color w:val="FFFFFF"/>
                <w:sz w:val="18"/>
                <w:szCs w:val="18"/>
              </w:rPr>
            </w:pPr>
            <w:r>
              <w:rPr>
                <w:b/>
                <w:bCs/>
                <w:color w:val="FFFFFF"/>
                <w:sz w:val="20"/>
                <w:szCs w:val="20"/>
              </w:rPr>
              <w:t>Política Pública Relacionada</w:t>
            </w:r>
          </w:p>
        </w:tc>
        <w:tc>
          <w:tcPr>
            <w:tcW w:w="3390"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8"/>
                <w:szCs w:val="18"/>
              </w:rPr>
            </w:pPr>
            <w:r>
              <w:rPr>
                <w:b/>
                <w:bCs/>
                <w:color w:val="FFFFFF"/>
                <w:sz w:val="20"/>
                <w:szCs w:val="20"/>
              </w:rPr>
              <w:t>Diretriz / Objetivo da Política Pública Relacionada</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Construção de novo galpão de vistoria de cargas da Receita Federal do Brasil</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636.627</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Realizar a manutenção da infraestrutura e das instalações dos portos organizados para atender à demanda de carga</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lastRenderedPageBreak/>
              <w:t>Câmeras do CFTV</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1.377.293</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PPA</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Promover a eficiência, a qualidade e a segurança do sistema de transporte aquaviário, aumentando a sua disponibilidade e competitividade</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Construção do novo gate</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3.266.506</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Otimizar a inteligência logística na gestão de acesso aos portos</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Revitalização do prédio administrativo</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821.138</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rsidP="00AE5B3E">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Gestão Portuária para aprimoramento das atividades e processos da Admin</w:t>
            </w:r>
            <w:r w:rsidR="00AE5B3E">
              <w:rPr>
                <w:color w:val="000000"/>
                <w:sz w:val="18"/>
                <w:szCs w:val="18"/>
              </w:rPr>
              <w:t>is</w:t>
            </w:r>
            <w:r>
              <w:rPr>
                <w:color w:val="000000"/>
                <w:sz w:val="18"/>
                <w:szCs w:val="18"/>
              </w:rPr>
              <w:t>tração do Porto</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Reforma e adaptação do prédio para a guarda de arquivos</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670.253</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rsidP="00AE5B3E">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Gestão Portuária para aprimoramento das atividades e processos da Admin</w:t>
            </w:r>
            <w:r w:rsidR="00AE5B3E">
              <w:rPr>
                <w:color w:val="000000"/>
                <w:sz w:val="18"/>
                <w:szCs w:val="18"/>
              </w:rPr>
              <w:t>is</w:t>
            </w:r>
            <w:r>
              <w:rPr>
                <w:color w:val="000000"/>
                <w:sz w:val="18"/>
                <w:szCs w:val="18"/>
              </w:rPr>
              <w:t>tração do Porto</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Novo elevador da sede administrativa</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635.272</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 xml:space="preserve">Gestão Portuária para aprimoramento das atividades e processos da </w:t>
            </w:r>
            <w:r w:rsidR="00AE5B3E">
              <w:rPr>
                <w:color w:val="000000"/>
                <w:sz w:val="18"/>
                <w:szCs w:val="18"/>
              </w:rPr>
              <w:t>Administração</w:t>
            </w:r>
            <w:r>
              <w:rPr>
                <w:color w:val="000000"/>
                <w:sz w:val="18"/>
                <w:szCs w:val="18"/>
              </w:rPr>
              <w:t xml:space="preserve"> do Porto</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Estudos e projetos</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2.212.676</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Realizar a manutenção da infraestrutura e das instalações dos portos organizados para atender à demanda de carga. Revitalizar áreas portuárias, fortalecendo a interação entre porto e cidade</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000000"/>
                <w:sz w:val="20"/>
                <w:szCs w:val="20"/>
              </w:rPr>
            </w:pPr>
            <w:r>
              <w:rPr>
                <w:b/>
                <w:bCs/>
                <w:color w:val="000000"/>
                <w:sz w:val="20"/>
                <w:szCs w:val="20"/>
              </w:rPr>
              <w:t>Aquisição de gradil de separação de público</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b/>
                <w:bCs/>
                <w:color w:val="000000"/>
                <w:sz w:val="18"/>
                <w:szCs w:val="18"/>
              </w:rPr>
            </w:pPr>
            <w:r>
              <w:rPr>
                <w:b/>
                <w:bCs/>
                <w:color w:val="000000"/>
                <w:sz w:val="18"/>
                <w:szCs w:val="18"/>
              </w:rPr>
              <w:t>54.400</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00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00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000000"/>
                <w:sz w:val="18"/>
                <w:szCs w:val="18"/>
              </w:rPr>
            </w:pPr>
            <w:r>
              <w:rPr>
                <w:color w:val="000000"/>
                <w:sz w:val="18"/>
                <w:szCs w:val="18"/>
              </w:rPr>
              <w:t xml:space="preserve">Gestão Portuária para aprimoramento das atividades e processos da </w:t>
            </w:r>
            <w:r w:rsidR="00AE5B3E">
              <w:rPr>
                <w:color w:val="000000"/>
                <w:sz w:val="18"/>
                <w:szCs w:val="18"/>
              </w:rPr>
              <w:t>Administração</w:t>
            </w:r>
            <w:r>
              <w:rPr>
                <w:color w:val="000000"/>
                <w:sz w:val="18"/>
                <w:szCs w:val="18"/>
              </w:rPr>
              <w:t xml:space="preserve"> do Porto</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Aquisição de computadores e hardwares</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77.570</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 xml:space="preserve">Gestão Portuária para aprimoramento das atividades e processos da </w:t>
            </w:r>
            <w:r w:rsidR="00AE5B3E">
              <w:rPr>
                <w:color w:val="000000"/>
                <w:sz w:val="18"/>
                <w:szCs w:val="18"/>
              </w:rPr>
              <w:t>Administração</w:t>
            </w:r>
            <w:r>
              <w:rPr>
                <w:color w:val="000000"/>
                <w:sz w:val="18"/>
                <w:szCs w:val="18"/>
              </w:rPr>
              <w:t xml:space="preserve"> do Porto</w:t>
            </w:r>
          </w:p>
        </w:tc>
      </w:tr>
      <w:tr w:rsidR="003073A4">
        <w:trPr>
          <w:trHeight w:val="246"/>
          <w:jc w:val="center"/>
        </w:trPr>
        <w:tc>
          <w:tcPr>
            <w:tcW w:w="1698" w:type="dxa"/>
            <w:vMerge w:val="restart"/>
            <w:shd w:val="clear" w:color="auto" w:fill="95B3D7"/>
            <w:vAlign w:val="center"/>
          </w:tcPr>
          <w:p w:rsidR="003073A4" w:rsidRDefault="000545DD">
            <w:pPr>
              <w:pBdr>
                <w:top w:val="nil"/>
                <w:left w:val="nil"/>
                <w:bottom w:val="nil"/>
                <w:right w:val="nil"/>
                <w:between w:val="nil"/>
              </w:pBdr>
              <w:spacing w:before="13" w:line="214" w:lineRule="auto"/>
              <w:jc w:val="center"/>
              <w:rPr>
                <w:b/>
                <w:bCs/>
                <w:color w:val="FF0000"/>
                <w:sz w:val="20"/>
                <w:szCs w:val="20"/>
              </w:rPr>
            </w:pPr>
            <w:r>
              <w:rPr>
                <w:b/>
                <w:bCs/>
                <w:color w:val="000000"/>
                <w:sz w:val="20"/>
                <w:szCs w:val="20"/>
              </w:rPr>
              <w:t>Defensas portuárias</w:t>
            </w:r>
          </w:p>
        </w:tc>
        <w:tc>
          <w:tcPr>
            <w:tcW w:w="1284" w:type="dxa"/>
            <w:vMerge w:val="restart"/>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1.474.649</w:t>
            </w:r>
          </w:p>
        </w:tc>
        <w:tc>
          <w:tcPr>
            <w:tcW w:w="1356" w:type="dxa"/>
            <w:vMerge w:val="restart"/>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Plano Mestre</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Investimentos Portuários em infraestrutura para incremento da capacidade e atendimento da movimentação esperada de granéis vegetais e granéis líquidos.</w:t>
            </w:r>
          </w:p>
        </w:tc>
      </w:tr>
      <w:tr w:rsidR="003073A4">
        <w:trPr>
          <w:trHeight w:val="246"/>
          <w:jc w:val="center"/>
        </w:trPr>
        <w:tc>
          <w:tcPr>
            <w:tcW w:w="1698" w:type="dxa"/>
            <w:vMerge/>
            <w:shd w:val="clear" w:color="auto" w:fill="95B3D7"/>
            <w:vAlign w:val="center"/>
          </w:tcPr>
          <w:p w:rsidR="003073A4" w:rsidRDefault="003073A4">
            <w:pPr>
              <w:pBdr>
                <w:top w:val="nil"/>
                <w:left w:val="nil"/>
                <w:bottom w:val="nil"/>
                <w:right w:val="nil"/>
                <w:between w:val="nil"/>
              </w:pBdr>
              <w:spacing w:line="276" w:lineRule="auto"/>
              <w:rPr>
                <w:color w:val="FF0000"/>
                <w:sz w:val="18"/>
                <w:szCs w:val="18"/>
              </w:rPr>
            </w:pPr>
          </w:p>
        </w:tc>
        <w:tc>
          <w:tcPr>
            <w:tcW w:w="1284"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356"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Melhorar a produtividade do sistema portuário na movimentação de cargas</w:t>
            </w:r>
          </w:p>
        </w:tc>
      </w:tr>
      <w:tr w:rsidR="003073A4">
        <w:trPr>
          <w:trHeight w:val="246"/>
          <w:jc w:val="center"/>
        </w:trPr>
        <w:tc>
          <w:tcPr>
            <w:tcW w:w="1698" w:type="dxa"/>
            <w:vMerge/>
            <w:shd w:val="clear" w:color="auto" w:fill="95B3D7"/>
            <w:vAlign w:val="center"/>
          </w:tcPr>
          <w:p w:rsidR="003073A4" w:rsidRDefault="003073A4">
            <w:pPr>
              <w:pBdr>
                <w:top w:val="nil"/>
                <w:left w:val="nil"/>
                <w:bottom w:val="nil"/>
                <w:right w:val="nil"/>
                <w:between w:val="nil"/>
              </w:pBdr>
              <w:spacing w:line="276" w:lineRule="auto"/>
              <w:rPr>
                <w:color w:val="FF0000"/>
                <w:sz w:val="18"/>
                <w:szCs w:val="18"/>
              </w:rPr>
            </w:pPr>
          </w:p>
        </w:tc>
        <w:tc>
          <w:tcPr>
            <w:tcW w:w="1284"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356"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Adequar os acessos aquaviários e as instalações de atracação à demanda de navios</w:t>
            </w:r>
          </w:p>
        </w:tc>
      </w:tr>
      <w:tr w:rsidR="003073A4">
        <w:trPr>
          <w:trHeight w:val="246"/>
          <w:jc w:val="center"/>
        </w:trPr>
        <w:tc>
          <w:tcPr>
            <w:tcW w:w="1698" w:type="dxa"/>
            <w:vMerge/>
            <w:shd w:val="clear" w:color="auto" w:fill="95B3D7"/>
            <w:vAlign w:val="center"/>
          </w:tcPr>
          <w:p w:rsidR="003073A4" w:rsidRDefault="003073A4">
            <w:pPr>
              <w:pBdr>
                <w:top w:val="nil"/>
                <w:left w:val="nil"/>
                <w:bottom w:val="nil"/>
                <w:right w:val="nil"/>
                <w:between w:val="nil"/>
              </w:pBdr>
              <w:spacing w:line="276" w:lineRule="auto"/>
              <w:rPr>
                <w:color w:val="FF0000"/>
                <w:sz w:val="18"/>
                <w:szCs w:val="18"/>
              </w:rPr>
            </w:pPr>
          </w:p>
        </w:tc>
        <w:tc>
          <w:tcPr>
            <w:tcW w:w="1284"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356" w:type="dxa"/>
            <w:vMerge/>
            <w:shd w:val="clear" w:color="auto" w:fill="BFBFBF"/>
            <w:vAlign w:val="center"/>
          </w:tcPr>
          <w:p w:rsidR="003073A4" w:rsidRDefault="003073A4">
            <w:pPr>
              <w:pBdr>
                <w:top w:val="nil"/>
                <w:left w:val="nil"/>
                <w:bottom w:val="nil"/>
                <w:right w:val="nil"/>
                <w:between w:val="nil"/>
              </w:pBdr>
              <w:spacing w:line="276" w:lineRule="auto"/>
              <w:rPr>
                <w:color w:val="FF0000"/>
                <w:sz w:val="18"/>
                <w:szCs w:val="18"/>
              </w:rPr>
            </w:pP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Realizar a manutenção da infraestrutura e das instalações dos portos organizados para atender à demanda de carga</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ind w:left="288" w:hanging="120"/>
              <w:jc w:val="center"/>
              <w:rPr>
                <w:b/>
                <w:bCs/>
                <w:color w:val="FF0000"/>
              </w:rPr>
            </w:pPr>
            <w:r>
              <w:rPr>
                <w:b/>
                <w:bCs/>
                <w:color w:val="000000"/>
                <w:sz w:val="20"/>
                <w:szCs w:val="20"/>
              </w:rPr>
              <w:t>Restauração e reforço do muro da sede da alfândega da RFB, situado no Porto De Fortaleza</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102.586</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Realizar a manutenção da infraestrutura e das instalações dos portos organizados para atender à demanda de carga</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ind w:left="288" w:hanging="120"/>
              <w:jc w:val="center"/>
              <w:rPr>
                <w:b/>
                <w:bCs/>
                <w:color w:val="FF0000"/>
                <w:sz w:val="20"/>
                <w:szCs w:val="20"/>
              </w:rPr>
            </w:pPr>
            <w:r>
              <w:rPr>
                <w:b/>
                <w:bCs/>
                <w:color w:val="000000"/>
                <w:sz w:val="20"/>
                <w:szCs w:val="20"/>
              </w:rPr>
              <w:t>Plano de Descarbonização</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856.587</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PPA</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Contribuir com as políticas de adaptação às mudanças climáticas e de mitigação de seus impactos</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ind w:left="288" w:hanging="120"/>
              <w:jc w:val="center"/>
              <w:rPr>
                <w:b/>
                <w:bCs/>
                <w:color w:val="FF0000"/>
              </w:rPr>
            </w:pPr>
            <w:r>
              <w:rPr>
                <w:b/>
                <w:bCs/>
                <w:color w:val="000000"/>
                <w:sz w:val="20"/>
                <w:szCs w:val="20"/>
              </w:rPr>
              <w:t>Restauração do acesso ao TMP</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3.154.411</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Revitalizar áreas portuárias, fortalecendo a interação entre porto e cidade</w:t>
            </w:r>
          </w:p>
        </w:tc>
      </w:tr>
      <w:tr w:rsidR="003073A4">
        <w:trPr>
          <w:trHeight w:val="246"/>
          <w:jc w:val="center"/>
        </w:trPr>
        <w:tc>
          <w:tcPr>
            <w:tcW w:w="1698" w:type="dxa"/>
            <w:shd w:val="clear" w:color="auto" w:fill="95B3D7"/>
            <w:vAlign w:val="center"/>
          </w:tcPr>
          <w:p w:rsidR="003073A4" w:rsidRDefault="000545DD">
            <w:pPr>
              <w:pBdr>
                <w:top w:val="nil"/>
                <w:left w:val="nil"/>
                <w:bottom w:val="nil"/>
                <w:right w:val="nil"/>
                <w:between w:val="nil"/>
              </w:pBdr>
              <w:spacing w:before="13" w:line="214" w:lineRule="auto"/>
              <w:ind w:left="288" w:hanging="120"/>
              <w:jc w:val="center"/>
              <w:rPr>
                <w:b/>
                <w:bCs/>
                <w:color w:val="FF0000"/>
              </w:rPr>
            </w:pPr>
            <w:r>
              <w:rPr>
                <w:b/>
                <w:bCs/>
                <w:color w:val="000000"/>
                <w:sz w:val="20"/>
                <w:szCs w:val="20"/>
              </w:rPr>
              <w:t>Adequação da câmera frigorífica</w:t>
            </w:r>
          </w:p>
        </w:tc>
        <w:tc>
          <w:tcPr>
            <w:tcW w:w="1284"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18"/>
                <w:szCs w:val="18"/>
              </w:rPr>
            </w:pPr>
            <w:r>
              <w:rPr>
                <w:b/>
                <w:bCs/>
                <w:color w:val="000000"/>
                <w:sz w:val="18"/>
                <w:szCs w:val="18"/>
              </w:rPr>
              <w:t>247.827</w:t>
            </w:r>
          </w:p>
        </w:tc>
        <w:tc>
          <w:tcPr>
            <w:tcW w:w="1356"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18"/>
                <w:szCs w:val="18"/>
              </w:rPr>
            </w:pPr>
            <w:r>
              <w:rPr>
                <w:color w:val="000000"/>
                <w:sz w:val="18"/>
                <w:szCs w:val="18"/>
              </w:rPr>
              <w:t>Processos</w:t>
            </w:r>
          </w:p>
        </w:tc>
        <w:tc>
          <w:tcPr>
            <w:tcW w:w="1192"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18"/>
                <w:szCs w:val="18"/>
              </w:rPr>
            </w:pPr>
            <w:r>
              <w:rPr>
                <w:color w:val="000000"/>
                <w:sz w:val="18"/>
                <w:szCs w:val="18"/>
              </w:rPr>
              <w:t>PNT</w:t>
            </w:r>
          </w:p>
        </w:tc>
        <w:tc>
          <w:tcPr>
            <w:tcW w:w="339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18"/>
                <w:szCs w:val="18"/>
              </w:rPr>
            </w:pPr>
            <w:r>
              <w:rPr>
                <w:color w:val="000000"/>
                <w:sz w:val="18"/>
                <w:szCs w:val="18"/>
              </w:rPr>
              <w:t>Realizar a manutenção da infraestrutura e das instalações dos portos organizados para atender à demanda de carga</w:t>
            </w:r>
          </w:p>
        </w:tc>
      </w:tr>
    </w:tbl>
    <w:p w:rsidR="003073A4" w:rsidRDefault="000545DD">
      <w:pPr>
        <w:spacing w:line="219" w:lineRule="auto"/>
        <w:ind w:left="262" w:hanging="262"/>
        <w:rPr>
          <w:sz w:val="18"/>
          <w:szCs w:val="18"/>
        </w:rPr>
      </w:pPr>
      <w:r>
        <w:rPr>
          <w:i/>
          <w:iCs/>
          <w:sz w:val="18"/>
          <w:szCs w:val="18"/>
        </w:rPr>
        <w:t xml:space="preserve"> </w:t>
      </w:r>
      <w:r>
        <w:rPr>
          <w:color w:val="000000"/>
          <w:sz w:val="18"/>
          <w:szCs w:val="18"/>
        </w:rPr>
        <w:t>Fonte: CODPLA - Coordenadoria de Planejamento Estratégico (2026)</w:t>
      </w:r>
    </w:p>
    <w:p w:rsidR="003073A4" w:rsidRDefault="003073A4">
      <w:pPr>
        <w:pBdr>
          <w:top w:val="nil"/>
          <w:left w:val="nil"/>
          <w:bottom w:val="nil"/>
          <w:right w:val="nil"/>
          <w:between w:val="nil"/>
        </w:pBdr>
        <w:ind w:left="15"/>
        <w:jc w:val="center"/>
        <w:rPr>
          <w:i/>
          <w:iCs/>
          <w:color w:val="FF0000"/>
          <w:sz w:val="18"/>
          <w:szCs w:val="18"/>
        </w:rPr>
      </w:pPr>
    </w:p>
    <w:p w:rsidR="003073A4" w:rsidRDefault="003073A4">
      <w:pPr>
        <w:pBdr>
          <w:top w:val="nil"/>
          <w:left w:val="nil"/>
          <w:bottom w:val="nil"/>
          <w:right w:val="nil"/>
          <w:between w:val="nil"/>
        </w:pBdr>
        <w:rPr>
          <w:i/>
          <w:iCs/>
          <w:color w:val="FF0000"/>
          <w:sz w:val="10"/>
          <w:szCs w:val="10"/>
        </w:rPr>
      </w:pPr>
    </w:p>
    <w:p w:rsidR="003073A4" w:rsidRDefault="003073A4">
      <w:pPr>
        <w:pBdr>
          <w:top w:val="nil"/>
          <w:left w:val="nil"/>
          <w:bottom w:val="nil"/>
          <w:right w:val="nil"/>
          <w:between w:val="nil"/>
        </w:pBdr>
        <w:ind w:left="15"/>
        <w:jc w:val="center"/>
        <w:rPr>
          <w:i/>
          <w:iCs/>
          <w:color w:val="FF0000"/>
          <w:sz w:val="4"/>
          <w:szCs w:val="4"/>
        </w:rPr>
      </w:pPr>
    </w:p>
    <w:p w:rsidR="003073A4" w:rsidRDefault="003073A4">
      <w:pPr>
        <w:pBdr>
          <w:top w:val="nil"/>
          <w:left w:val="nil"/>
          <w:bottom w:val="nil"/>
          <w:right w:val="nil"/>
          <w:between w:val="nil"/>
        </w:pBdr>
        <w:ind w:left="15"/>
        <w:jc w:val="center"/>
        <w:rPr>
          <w:i/>
          <w:iCs/>
          <w:color w:val="FF0000"/>
          <w:sz w:val="4"/>
          <w:szCs w:val="4"/>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Impactos econômico-financeiros da operacionalização das políticas públicas</w:t>
      </w:r>
    </w:p>
    <w:p w:rsidR="003073A4" w:rsidRDefault="003073A4">
      <w:pPr>
        <w:pBdr>
          <w:top w:val="nil"/>
          <w:left w:val="nil"/>
          <w:bottom w:val="nil"/>
          <w:right w:val="nil"/>
          <w:between w:val="nil"/>
        </w:pBdr>
        <w:spacing w:before="120" w:after="120" w:line="360" w:lineRule="auto"/>
        <w:jc w:val="both"/>
      </w:pPr>
    </w:p>
    <w:p w:rsidR="003073A4" w:rsidRDefault="000545DD">
      <w:pPr>
        <w:pBdr>
          <w:top w:val="nil"/>
          <w:left w:val="nil"/>
          <w:bottom w:val="nil"/>
          <w:right w:val="nil"/>
          <w:between w:val="nil"/>
        </w:pBdr>
        <w:spacing w:before="120" w:after="120" w:line="360" w:lineRule="auto"/>
        <w:jc w:val="both"/>
        <w:rPr>
          <w:color w:val="000000"/>
        </w:rPr>
      </w:pPr>
      <w:r>
        <w:rPr>
          <w:color w:val="000000"/>
        </w:rPr>
        <w:lastRenderedPageBreak/>
        <w:t>Em 2025, os recursos investidos do Orçamento de Investimento no Porto de Fortaleza totalizaram R$ 15.945.478 (quinze milhões novecentos e quarenta e cinco mil quatrocentos e setenta e oito reais) que, em sua totalidade, foram oriundos de recursos próprios.</w:t>
      </w:r>
    </w:p>
    <w:p w:rsidR="003073A4" w:rsidRDefault="000545DD">
      <w:pPr>
        <w:pBdr>
          <w:top w:val="nil"/>
          <w:left w:val="nil"/>
          <w:bottom w:val="nil"/>
          <w:right w:val="nil"/>
          <w:between w:val="nil"/>
        </w:pBdr>
        <w:spacing w:before="120" w:after="120" w:line="360" w:lineRule="auto"/>
        <w:jc w:val="both"/>
        <w:rPr>
          <w:color w:val="000000"/>
        </w:rPr>
      </w:pPr>
      <w:r>
        <w:rPr>
          <w:color w:val="000000"/>
        </w:rPr>
        <w:t>Cabe destaque para o volume financeiro investimento, que foi o maior dos últimos 05 anos, que contribuiu para a execução de quase 38% de todo o valor aprovado para o exercício. Segue tabela com o detalhamento dos investimentos dos últimos 05 anos:</w:t>
      </w:r>
    </w:p>
    <w:p w:rsidR="00C65639" w:rsidRPr="00E944DE" w:rsidRDefault="00C65639">
      <w:pPr>
        <w:pBdr>
          <w:top w:val="nil"/>
          <w:left w:val="nil"/>
          <w:bottom w:val="nil"/>
          <w:right w:val="nil"/>
          <w:between w:val="nil"/>
        </w:pBdr>
        <w:spacing w:before="120" w:after="120" w:line="360" w:lineRule="auto"/>
        <w:jc w:val="both"/>
        <w:rPr>
          <w:color w:val="000000"/>
          <w:sz w:val="10"/>
          <w:szCs w:val="10"/>
        </w:rPr>
      </w:pPr>
    </w:p>
    <w:p w:rsidR="003073A4" w:rsidRDefault="000545DD">
      <w:pPr>
        <w:pBdr>
          <w:top w:val="nil"/>
          <w:left w:val="nil"/>
          <w:bottom w:val="nil"/>
          <w:right w:val="nil"/>
          <w:between w:val="nil"/>
        </w:pBdr>
        <w:spacing w:before="120" w:after="120" w:line="360" w:lineRule="auto"/>
        <w:ind w:right="195"/>
        <w:jc w:val="both"/>
        <w:rPr>
          <w:color w:val="000000"/>
          <w:sz w:val="18"/>
          <w:szCs w:val="18"/>
        </w:rPr>
      </w:pPr>
      <w:r>
        <w:rPr>
          <w:color w:val="000000"/>
          <w:sz w:val="18"/>
          <w:szCs w:val="18"/>
        </w:rPr>
        <w:t xml:space="preserve">Tabela 4 - Execução orçamentária do OI 2021 a 2025  </w:t>
      </w:r>
    </w:p>
    <w:tbl>
      <w:tblPr>
        <w:tblStyle w:val="a6"/>
        <w:tblW w:w="89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986"/>
        <w:gridCol w:w="994"/>
        <w:gridCol w:w="1024"/>
        <w:gridCol w:w="1103"/>
        <w:gridCol w:w="1140"/>
        <w:gridCol w:w="910"/>
        <w:gridCol w:w="926"/>
      </w:tblGrid>
      <w:tr w:rsidR="003073A4">
        <w:trPr>
          <w:trHeight w:val="246"/>
          <w:jc w:val="center"/>
        </w:trPr>
        <w:tc>
          <w:tcPr>
            <w:tcW w:w="1837" w:type="dxa"/>
            <w:vMerge w:val="restart"/>
            <w:shd w:val="clear" w:color="auto" w:fill="44536A"/>
            <w:vAlign w:val="center"/>
          </w:tcPr>
          <w:p w:rsidR="003073A4" w:rsidRDefault="000545DD">
            <w:pPr>
              <w:pBdr>
                <w:top w:val="nil"/>
                <w:left w:val="nil"/>
                <w:bottom w:val="nil"/>
                <w:right w:val="nil"/>
                <w:between w:val="nil"/>
              </w:pBdr>
              <w:spacing w:before="13" w:line="214" w:lineRule="auto"/>
              <w:jc w:val="center"/>
              <w:rPr>
                <w:b/>
                <w:bCs/>
                <w:color w:val="FFFFFF"/>
                <w:sz w:val="16"/>
                <w:szCs w:val="16"/>
              </w:rPr>
            </w:pPr>
            <w:r>
              <w:rPr>
                <w:b/>
                <w:bCs/>
                <w:color w:val="FFFFFF"/>
                <w:sz w:val="16"/>
                <w:szCs w:val="16"/>
              </w:rPr>
              <w:t>ANO</w:t>
            </w:r>
          </w:p>
        </w:tc>
        <w:tc>
          <w:tcPr>
            <w:tcW w:w="5247" w:type="dxa"/>
            <w:gridSpan w:val="5"/>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6"/>
                <w:szCs w:val="16"/>
              </w:rPr>
              <w:t>VALORES EXECUTADOS (R$)</w:t>
            </w:r>
          </w:p>
        </w:tc>
        <w:tc>
          <w:tcPr>
            <w:tcW w:w="910" w:type="dxa"/>
            <w:vMerge w:val="restart"/>
            <w:shd w:val="clear" w:color="auto" w:fill="44536A"/>
            <w:vAlign w:val="center"/>
          </w:tcPr>
          <w:p w:rsidR="003073A4" w:rsidRDefault="003073A4">
            <w:pPr>
              <w:pBdr>
                <w:top w:val="nil"/>
                <w:left w:val="nil"/>
                <w:bottom w:val="nil"/>
                <w:right w:val="nil"/>
                <w:between w:val="nil"/>
              </w:pBdr>
              <w:spacing w:before="13" w:line="214" w:lineRule="auto"/>
              <w:ind w:left="52" w:right="55"/>
              <w:jc w:val="center"/>
              <w:rPr>
                <w:b/>
                <w:bCs/>
                <w:color w:val="FFFFFF"/>
                <w:sz w:val="16"/>
                <w:szCs w:val="16"/>
              </w:rPr>
            </w:pPr>
          </w:p>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6"/>
                <w:szCs w:val="16"/>
              </w:rPr>
              <w:t>% EXECUÇÃO 2025</w:t>
            </w:r>
          </w:p>
        </w:tc>
        <w:tc>
          <w:tcPr>
            <w:tcW w:w="926" w:type="dxa"/>
            <w:vMerge w:val="restart"/>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6"/>
                <w:szCs w:val="16"/>
              </w:rPr>
              <w:t>% VARIAÇÃO 25/24</w:t>
            </w:r>
          </w:p>
        </w:tc>
      </w:tr>
      <w:tr w:rsidR="003073A4">
        <w:trPr>
          <w:trHeight w:val="246"/>
          <w:jc w:val="center"/>
        </w:trPr>
        <w:tc>
          <w:tcPr>
            <w:tcW w:w="1837" w:type="dxa"/>
            <w:vMerge/>
            <w:shd w:val="clear" w:color="auto" w:fill="44536A"/>
            <w:vAlign w:val="center"/>
          </w:tcPr>
          <w:p w:rsidR="003073A4" w:rsidRDefault="003073A4">
            <w:pPr>
              <w:pBdr>
                <w:top w:val="nil"/>
                <w:left w:val="nil"/>
                <w:bottom w:val="nil"/>
                <w:right w:val="nil"/>
                <w:between w:val="nil"/>
              </w:pBdr>
              <w:spacing w:line="276" w:lineRule="auto"/>
              <w:rPr>
                <w:b/>
                <w:bCs/>
                <w:color w:val="FFFFFF"/>
                <w:sz w:val="16"/>
                <w:szCs w:val="16"/>
              </w:rPr>
            </w:pPr>
          </w:p>
        </w:tc>
        <w:tc>
          <w:tcPr>
            <w:tcW w:w="986" w:type="dxa"/>
            <w:shd w:val="clear" w:color="auto" w:fill="44536A"/>
            <w:vAlign w:val="center"/>
          </w:tcPr>
          <w:p w:rsidR="003073A4" w:rsidRDefault="000545DD">
            <w:pPr>
              <w:pBdr>
                <w:top w:val="nil"/>
                <w:left w:val="nil"/>
                <w:bottom w:val="nil"/>
                <w:right w:val="nil"/>
                <w:between w:val="nil"/>
              </w:pBdr>
              <w:spacing w:before="13" w:line="214" w:lineRule="auto"/>
              <w:ind w:left="30" w:right="33"/>
              <w:jc w:val="center"/>
              <w:rPr>
                <w:b/>
                <w:bCs/>
                <w:color w:val="FFFFFF"/>
                <w:sz w:val="16"/>
                <w:szCs w:val="16"/>
              </w:rPr>
            </w:pPr>
            <w:r>
              <w:rPr>
                <w:b/>
                <w:bCs/>
                <w:color w:val="FFFFFF"/>
                <w:sz w:val="16"/>
                <w:szCs w:val="16"/>
              </w:rPr>
              <w:t>2021</w:t>
            </w:r>
          </w:p>
        </w:tc>
        <w:tc>
          <w:tcPr>
            <w:tcW w:w="994" w:type="dxa"/>
            <w:shd w:val="clear" w:color="auto" w:fill="44536A"/>
            <w:vAlign w:val="center"/>
          </w:tcPr>
          <w:p w:rsidR="003073A4" w:rsidRDefault="000545DD">
            <w:pPr>
              <w:pBdr>
                <w:top w:val="nil"/>
                <w:left w:val="nil"/>
                <w:bottom w:val="nil"/>
                <w:right w:val="nil"/>
                <w:between w:val="nil"/>
              </w:pBdr>
              <w:spacing w:before="13" w:line="214" w:lineRule="auto"/>
              <w:ind w:left="35" w:right="35"/>
              <w:jc w:val="center"/>
              <w:rPr>
                <w:b/>
                <w:bCs/>
                <w:color w:val="FFFFFF"/>
                <w:sz w:val="16"/>
                <w:szCs w:val="16"/>
              </w:rPr>
            </w:pPr>
            <w:r>
              <w:rPr>
                <w:b/>
                <w:bCs/>
                <w:color w:val="FFFFFF"/>
                <w:sz w:val="16"/>
                <w:szCs w:val="16"/>
              </w:rPr>
              <w:t>2022</w:t>
            </w:r>
          </w:p>
        </w:tc>
        <w:tc>
          <w:tcPr>
            <w:tcW w:w="1024" w:type="dxa"/>
            <w:shd w:val="clear" w:color="auto" w:fill="44536A"/>
            <w:vAlign w:val="center"/>
          </w:tcPr>
          <w:p w:rsidR="003073A4" w:rsidRDefault="000545DD">
            <w:pPr>
              <w:pBdr>
                <w:top w:val="nil"/>
                <w:left w:val="nil"/>
                <w:bottom w:val="nil"/>
                <w:right w:val="nil"/>
                <w:between w:val="nil"/>
              </w:pBdr>
              <w:spacing w:before="13" w:line="214" w:lineRule="auto"/>
              <w:ind w:left="33" w:right="33"/>
              <w:jc w:val="center"/>
              <w:rPr>
                <w:b/>
                <w:bCs/>
                <w:color w:val="FFFFFF"/>
                <w:sz w:val="16"/>
                <w:szCs w:val="16"/>
              </w:rPr>
            </w:pPr>
            <w:r>
              <w:rPr>
                <w:b/>
                <w:bCs/>
                <w:color w:val="FFFFFF"/>
                <w:sz w:val="16"/>
                <w:szCs w:val="16"/>
              </w:rPr>
              <w:t>2023</w:t>
            </w:r>
          </w:p>
        </w:tc>
        <w:tc>
          <w:tcPr>
            <w:tcW w:w="1103"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6"/>
                <w:szCs w:val="16"/>
              </w:rPr>
              <w:t>2024</w:t>
            </w:r>
          </w:p>
        </w:tc>
        <w:tc>
          <w:tcPr>
            <w:tcW w:w="1140"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6"/>
                <w:szCs w:val="16"/>
              </w:rPr>
              <w:t>2025</w:t>
            </w:r>
          </w:p>
        </w:tc>
        <w:tc>
          <w:tcPr>
            <w:tcW w:w="910" w:type="dxa"/>
            <w:vMerge/>
            <w:shd w:val="clear" w:color="auto" w:fill="44536A"/>
            <w:vAlign w:val="center"/>
          </w:tcPr>
          <w:p w:rsidR="003073A4" w:rsidRDefault="003073A4">
            <w:pPr>
              <w:pBdr>
                <w:top w:val="nil"/>
                <w:left w:val="nil"/>
                <w:bottom w:val="nil"/>
                <w:right w:val="nil"/>
                <w:between w:val="nil"/>
              </w:pBdr>
              <w:spacing w:line="276" w:lineRule="auto"/>
              <w:rPr>
                <w:b/>
                <w:bCs/>
                <w:color w:val="FFFFFF"/>
                <w:sz w:val="16"/>
                <w:szCs w:val="16"/>
              </w:rPr>
            </w:pPr>
          </w:p>
        </w:tc>
        <w:tc>
          <w:tcPr>
            <w:tcW w:w="926" w:type="dxa"/>
            <w:vMerge/>
            <w:shd w:val="clear" w:color="auto" w:fill="44536A"/>
            <w:vAlign w:val="center"/>
          </w:tcPr>
          <w:p w:rsidR="003073A4" w:rsidRDefault="003073A4">
            <w:pPr>
              <w:pBdr>
                <w:top w:val="nil"/>
                <w:left w:val="nil"/>
                <w:bottom w:val="nil"/>
                <w:right w:val="nil"/>
                <w:between w:val="nil"/>
              </w:pBdr>
              <w:spacing w:line="276" w:lineRule="auto"/>
              <w:rPr>
                <w:b/>
                <w:bCs/>
                <w:color w:val="FFFFFF"/>
                <w:sz w:val="16"/>
                <w:szCs w:val="16"/>
              </w:rPr>
            </w:pPr>
          </w:p>
        </w:tc>
      </w:tr>
      <w:tr w:rsidR="003073A4">
        <w:trPr>
          <w:trHeight w:val="246"/>
          <w:jc w:val="center"/>
        </w:trPr>
        <w:tc>
          <w:tcPr>
            <w:tcW w:w="1837" w:type="dxa"/>
            <w:shd w:val="clear" w:color="auto" w:fill="44536A"/>
            <w:vAlign w:val="center"/>
          </w:tcPr>
          <w:p w:rsidR="003073A4" w:rsidRDefault="000545DD">
            <w:pPr>
              <w:pBdr>
                <w:top w:val="nil"/>
                <w:left w:val="nil"/>
                <w:bottom w:val="nil"/>
                <w:right w:val="nil"/>
                <w:between w:val="nil"/>
              </w:pBdr>
              <w:spacing w:before="13" w:line="214" w:lineRule="auto"/>
              <w:jc w:val="center"/>
              <w:rPr>
                <w:b/>
                <w:bCs/>
                <w:color w:val="FFFFFF"/>
                <w:sz w:val="16"/>
                <w:szCs w:val="16"/>
              </w:rPr>
            </w:pPr>
            <w:r>
              <w:rPr>
                <w:b/>
                <w:bCs/>
                <w:color w:val="FFFFFF"/>
                <w:sz w:val="16"/>
                <w:szCs w:val="16"/>
              </w:rPr>
              <w:t>TOTAL APROVADO (R$)</w:t>
            </w:r>
          </w:p>
        </w:tc>
        <w:tc>
          <w:tcPr>
            <w:tcW w:w="986" w:type="dxa"/>
            <w:shd w:val="clear" w:color="auto" w:fill="44536A"/>
            <w:vAlign w:val="center"/>
          </w:tcPr>
          <w:p w:rsidR="003073A4" w:rsidRDefault="000545DD">
            <w:pPr>
              <w:pBdr>
                <w:top w:val="nil"/>
                <w:left w:val="nil"/>
                <w:bottom w:val="nil"/>
                <w:right w:val="nil"/>
                <w:between w:val="nil"/>
              </w:pBdr>
              <w:spacing w:before="13" w:line="214" w:lineRule="auto"/>
              <w:ind w:left="30" w:right="33"/>
              <w:jc w:val="center"/>
              <w:rPr>
                <w:b/>
                <w:bCs/>
                <w:color w:val="FFFFFF"/>
                <w:sz w:val="16"/>
                <w:szCs w:val="16"/>
              </w:rPr>
            </w:pPr>
            <w:r>
              <w:rPr>
                <w:b/>
                <w:bCs/>
                <w:color w:val="FFFFFF"/>
                <w:sz w:val="18"/>
                <w:szCs w:val="18"/>
              </w:rPr>
              <w:t>17.768.720</w:t>
            </w:r>
          </w:p>
        </w:tc>
        <w:tc>
          <w:tcPr>
            <w:tcW w:w="994" w:type="dxa"/>
            <w:shd w:val="clear" w:color="auto" w:fill="44536A"/>
            <w:vAlign w:val="center"/>
          </w:tcPr>
          <w:p w:rsidR="003073A4" w:rsidRDefault="000545DD">
            <w:pPr>
              <w:pBdr>
                <w:top w:val="nil"/>
                <w:left w:val="nil"/>
                <w:bottom w:val="nil"/>
                <w:right w:val="nil"/>
                <w:between w:val="nil"/>
              </w:pBdr>
              <w:spacing w:before="13" w:line="214" w:lineRule="auto"/>
              <w:ind w:left="35" w:right="35"/>
              <w:jc w:val="center"/>
              <w:rPr>
                <w:b/>
                <w:bCs/>
                <w:color w:val="FFFFFF"/>
                <w:sz w:val="16"/>
                <w:szCs w:val="16"/>
              </w:rPr>
            </w:pPr>
            <w:r>
              <w:rPr>
                <w:b/>
                <w:bCs/>
                <w:color w:val="FFFFFF"/>
                <w:sz w:val="18"/>
                <w:szCs w:val="18"/>
              </w:rPr>
              <w:t>19.989.852</w:t>
            </w:r>
          </w:p>
        </w:tc>
        <w:tc>
          <w:tcPr>
            <w:tcW w:w="1024" w:type="dxa"/>
            <w:shd w:val="clear" w:color="auto" w:fill="44536A"/>
            <w:vAlign w:val="center"/>
          </w:tcPr>
          <w:p w:rsidR="003073A4" w:rsidRDefault="000545DD">
            <w:pPr>
              <w:pBdr>
                <w:top w:val="nil"/>
                <w:left w:val="nil"/>
                <w:bottom w:val="nil"/>
                <w:right w:val="nil"/>
                <w:between w:val="nil"/>
              </w:pBdr>
              <w:spacing w:before="13" w:line="214" w:lineRule="auto"/>
              <w:ind w:left="33" w:right="33"/>
              <w:jc w:val="center"/>
              <w:rPr>
                <w:b/>
                <w:bCs/>
                <w:color w:val="FFFFFF"/>
                <w:sz w:val="16"/>
                <w:szCs w:val="16"/>
              </w:rPr>
            </w:pPr>
            <w:r>
              <w:rPr>
                <w:b/>
                <w:bCs/>
                <w:color w:val="FFFFFF"/>
                <w:sz w:val="18"/>
                <w:szCs w:val="18"/>
              </w:rPr>
              <w:t>28.139.979</w:t>
            </w:r>
          </w:p>
        </w:tc>
        <w:tc>
          <w:tcPr>
            <w:tcW w:w="1103"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8"/>
                <w:szCs w:val="18"/>
              </w:rPr>
              <w:t>27.426.315</w:t>
            </w:r>
          </w:p>
        </w:tc>
        <w:tc>
          <w:tcPr>
            <w:tcW w:w="1140"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8"/>
                <w:szCs w:val="18"/>
              </w:rPr>
              <w:t>42.099.795</w:t>
            </w:r>
          </w:p>
        </w:tc>
        <w:tc>
          <w:tcPr>
            <w:tcW w:w="910" w:type="dxa"/>
            <w:vMerge w:val="restart"/>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20"/>
                <w:szCs w:val="20"/>
              </w:rPr>
            </w:pPr>
            <w:r>
              <w:rPr>
                <w:b/>
                <w:bCs/>
                <w:color w:val="FFFFFF"/>
                <w:sz w:val="20"/>
                <w:szCs w:val="20"/>
              </w:rPr>
              <w:t>37,88%</w:t>
            </w:r>
          </w:p>
        </w:tc>
        <w:tc>
          <w:tcPr>
            <w:tcW w:w="926" w:type="dxa"/>
            <w:vMerge w:val="restart"/>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0000"/>
                <w:sz w:val="20"/>
                <w:szCs w:val="20"/>
              </w:rPr>
            </w:pPr>
            <w:r>
              <w:rPr>
                <w:b/>
                <w:bCs/>
                <w:color w:val="FFFFFF"/>
                <w:sz w:val="20"/>
                <w:szCs w:val="20"/>
              </w:rPr>
              <w:t>268,95%</w:t>
            </w:r>
          </w:p>
        </w:tc>
      </w:tr>
      <w:tr w:rsidR="003073A4">
        <w:trPr>
          <w:trHeight w:val="246"/>
          <w:jc w:val="center"/>
        </w:trPr>
        <w:tc>
          <w:tcPr>
            <w:tcW w:w="1837" w:type="dxa"/>
            <w:shd w:val="clear" w:color="auto" w:fill="44536A"/>
            <w:vAlign w:val="center"/>
          </w:tcPr>
          <w:p w:rsidR="003073A4" w:rsidRDefault="000545DD">
            <w:pPr>
              <w:pBdr>
                <w:top w:val="nil"/>
                <w:left w:val="nil"/>
                <w:bottom w:val="nil"/>
                <w:right w:val="nil"/>
                <w:between w:val="nil"/>
              </w:pBdr>
              <w:spacing w:before="13" w:line="214" w:lineRule="auto"/>
              <w:jc w:val="center"/>
              <w:rPr>
                <w:b/>
                <w:bCs/>
                <w:color w:val="FFFFFF"/>
                <w:sz w:val="16"/>
                <w:szCs w:val="16"/>
              </w:rPr>
            </w:pPr>
            <w:r>
              <w:rPr>
                <w:b/>
                <w:bCs/>
                <w:color w:val="FFFFFF"/>
                <w:sz w:val="16"/>
                <w:szCs w:val="16"/>
              </w:rPr>
              <w:t>TOTAL INVESTIDO (R$)</w:t>
            </w:r>
          </w:p>
        </w:tc>
        <w:tc>
          <w:tcPr>
            <w:tcW w:w="986" w:type="dxa"/>
            <w:shd w:val="clear" w:color="auto" w:fill="44536A"/>
            <w:vAlign w:val="center"/>
          </w:tcPr>
          <w:p w:rsidR="003073A4" w:rsidRDefault="000545DD">
            <w:pPr>
              <w:pBdr>
                <w:top w:val="nil"/>
                <w:left w:val="nil"/>
                <w:bottom w:val="nil"/>
                <w:right w:val="nil"/>
                <w:between w:val="nil"/>
              </w:pBdr>
              <w:spacing w:before="13" w:line="214" w:lineRule="auto"/>
              <w:ind w:left="30" w:right="33"/>
              <w:jc w:val="center"/>
              <w:rPr>
                <w:b/>
                <w:bCs/>
                <w:color w:val="FFFFFF"/>
                <w:sz w:val="16"/>
                <w:szCs w:val="16"/>
              </w:rPr>
            </w:pPr>
            <w:r>
              <w:rPr>
                <w:b/>
                <w:bCs/>
                <w:color w:val="FFFFFF"/>
                <w:sz w:val="18"/>
                <w:szCs w:val="18"/>
              </w:rPr>
              <w:t>1.184.238</w:t>
            </w:r>
          </w:p>
        </w:tc>
        <w:tc>
          <w:tcPr>
            <w:tcW w:w="994" w:type="dxa"/>
            <w:shd w:val="clear" w:color="auto" w:fill="44536A"/>
            <w:vAlign w:val="center"/>
          </w:tcPr>
          <w:p w:rsidR="003073A4" w:rsidRDefault="000545DD">
            <w:pPr>
              <w:pBdr>
                <w:top w:val="nil"/>
                <w:left w:val="nil"/>
                <w:bottom w:val="nil"/>
                <w:right w:val="nil"/>
                <w:between w:val="nil"/>
              </w:pBdr>
              <w:spacing w:before="13" w:line="214" w:lineRule="auto"/>
              <w:ind w:left="35" w:right="35"/>
              <w:jc w:val="center"/>
              <w:rPr>
                <w:b/>
                <w:bCs/>
                <w:color w:val="FFFFFF"/>
                <w:sz w:val="16"/>
                <w:szCs w:val="16"/>
              </w:rPr>
            </w:pPr>
            <w:r>
              <w:rPr>
                <w:b/>
                <w:bCs/>
                <w:color w:val="FFFFFF"/>
                <w:sz w:val="18"/>
                <w:szCs w:val="18"/>
              </w:rPr>
              <w:t>6.869.150</w:t>
            </w:r>
          </w:p>
        </w:tc>
        <w:tc>
          <w:tcPr>
            <w:tcW w:w="1024" w:type="dxa"/>
            <w:shd w:val="clear" w:color="auto" w:fill="44536A"/>
            <w:vAlign w:val="center"/>
          </w:tcPr>
          <w:p w:rsidR="003073A4" w:rsidRDefault="000545DD">
            <w:pPr>
              <w:pBdr>
                <w:top w:val="nil"/>
                <w:left w:val="nil"/>
                <w:bottom w:val="nil"/>
                <w:right w:val="nil"/>
                <w:between w:val="nil"/>
              </w:pBdr>
              <w:spacing w:before="13" w:line="214" w:lineRule="auto"/>
              <w:ind w:left="33" w:right="33"/>
              <w:jc w:val="center"/>
              <w:rPr>
                <w:b/>
                <w:bCs/>
                <w:color w:val="FFFFFF"/>
                <w:sz w:val="16"/>
                <w:szCs w:val="16"/>
              </w:rPr>
            </w:pPr>
            <w:r>
              <w:rPr>
                <w:b/>
                <w:bCs/>
                <w:color w:val="FFFFFF"/>
                <w:sz w:val="18"/>
                <w:szCs w:val="18"/>
              </w:rPr>
              <w:t>4.953.583</w:t>
            </w:r>
          </w:p>
        </w:tc>
        <w:tc>
          <w:tcPr>
            <w:tcW w:w="1103"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8"/>
                <w:szCs w:val="18"/>
              </w:rPr>
              <w:t>5.928.692</w:t>
            </w:r>
          </w:p>
        </w:tc>
        <w:tc>
          <w:tcPr>
            <w:tcW w:w="1140" w:type="dxa"/>
            <w:shd w:val="clear" w:color="auto" w:fill="44536A"/>
            <w:vAlign w:val="center"/>
          </w:tcPr>
          <w:p w:rsidR="003073A4" w:rsidRDefault="000545DD">
            <w:pPr>
              <w:pBdr>
                <w:top w:val="nil"/>
                <w:left w:val="nil"/>
                <w:bottom w:val="nil"/>
                <w:right w:val="nil"/>
                <w:between w:val="nil"/>
              </w:pBdr>
              <w:spacing w:before="13" w:line="214" w:lineRule="auto"/>
              <w:ind w:left="52" w:right="55"/>
              <w:jc w:val="center"/>
              <w:rPr>
                <w:b/>
                <w:bCs/>
                <w:color w:val="FFFFFF"/>
                <w:sz w:val="16"/>
                <w:szCs w:val="16"/>
              </w:rPr>
            </w:pPr>
            <w:r>
              <w:rPr>
                <w:b/>
                <w:bCs/>
                <w:color w:val="FFFFFF"/>
                <w:sz w:val="18"/>
                <w:szCs w:val="18"/>
              </w:rPr>
              <w:t>15.945.478</w:t>
            </w:r>
          </w:p>
        </w:tc>
        <w:tc>
          <w:tcPr>
            <w:tcW w:w="910" w:type="dxa"/>
            <w:vMerge/>
            <w:shd w:val="clear" w:color="auto" w:fill="44536A"/>
            <w:vAlign w:val="center"/>
          </w:tcPr>
          <w:p w:rsidR="003073A4" w:rsidRDefault="003073A4">
            <w:pPr>
              <w:pBdr>
                <w:top w:val="nil"/>
                <w:left w:val="nil"/>
                <w:bottom w:val="nil"/>
                <w:right w:val="nil"/>
                <w:between w:val="nil"/>
              </w:pBdr>
              <w:spacing w:line="276" w:lineRule="auto"/>
              <w:rPr>
                <w:b/>
                <w:bCs/>
                <w:color w:val="FFFFFF"/>
                <w:sz w:val="16"/>
                <w:szCs w:val="16"/>
              </w:rPr>
            </w:pPr>
          </w:p>
        </w:tc>
        <w:tc>
          <w:tcPr>
            <w:tcW w:w="926" w:type="dxa"/>
            <w:vMerge/>
            <w:shd w:val="clear" w:color="auto" w:fill="44536A"/>
            <w:vAlign w:val="center"/>
          </w:tcPr>
          <w:p w:rsidR="003073A4" w:rsidRDefault="003073A4">
            <w:pPr>
              <w:pBdr>
                <w:top w:val="nil"/>
                <w:left w:val="nil"/>
                <w:bottom w:val="nil"/>
                <w:right w:val="nil"/>
                <w:between w:val="nil"/>
              </w:pBdr>
              <w:spacing w:line="276" w:lineRule="auto"/>
              <w:rPr>
                <w:b/>
                <w:bCs/>
                <w:color w:val="FFFFFF"/>
                <w:sz w:val="16"/>
                <w:szCs w:val="16"/>
              </w:rPr>
            </w:pPr>
          </w:p>
        </w:tc>
      </w:tr>
      <w:tr w:rsidR="003073A4">
        <w:trPr>
          <w:trHeight w:val="246"/>
          <w:jc w:val="center"/>
        </w:trPr>
        <w:tc>
          <w:tcPr>
            <w:tcW w:w="8920" w:type="dxa"/>
            <w:gridSpan w:val="8"/>
            <w:shd w:val="clear" w:color="auto" w:fill="auto"/>
            <w:vAlign w:val="center"/>
          </w:tcPr>
          <w:p w:rsidR="003073A4" w:rsidRDefault="000545DD">
            <w:pPr>
              <w:pBdr>
                <w:top w:val="nil"/>
                <w:left w:val="nil"/>
                <w:bottom w:val="nil"/>
                <w:right w:val="nil"/>
                <w:between w:val="nil"/>
              </w:pBdr>
              <w:spacing w:before="13" w:line="214" w:lineRule="auto"/>
              <w:ind w:left="52" w:right="55"/>
              <w:jc w:val="center"/>
              <w:rPr>
                <w:b/>
                <w:bCs/>
                <w:color w:val="FF0000"/>
                <w:sz w:val="18"/>
                <w:szCs w:val="18"/>
              </w:rPr>
            </w:pPr>
            <w:r>
              <w:rPr>
                <w:b/>
                <w:bCs/>
                <w:color w:val="000000"/>
                <w:sz w:val="18"/>
                <w:szCs w:val="18"/>
              </w:rPr>
              <w:t>FONTE DE INVESTIMENTO</w:t>
            </w:r>
          </w:p>
        </w:tc>
      </w:tr>
      <w:tr w:rsidR="003073A4">
        <w:trPr>
          <w:trHeight w:val="246"/>
          <w:jc w:val="center"/>
        </w:trPr>
        <w:tc>
          <w:tcPr>
            <w:tcW w:w="1837"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000000"/>
                <w:sz w:val="18"/>
                <w:szCs w:val="18"/>
              </w:rPr>
            </w:pPr>
            <w:r>
              <w:rPr>
                <w:b/>
                <w:bCs/>
                <w:color w:val="000000"/>
                <w:sz w:val="18"/>
                <w:szCs w:val="18"/>
              </w:rPr>
              <w:t>RECURSO PRÓPRIO</w:t>
            </w:r>
          </w:p>
        </w:tc>
        <w:tc>
          <w:tcPr>
            <w:tcW w:w="986"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20"/>
                <w:szCs w:val="20"/>
              </w:rPr>
            </w:pPr>
            <w:r>
              <w:rPr>
                <w:color w:val="000000"/>
                <w:sz w:val="20"/>
                <w:szCs w:val="20"/>
              </w:rPr>
              <w:t>444.183</w:t>
            </w:r>
          </w:p>
        </w:tc>
        <w:tc>
          <w:tcPr>
            <w:tcW w:w="994"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20"/>
                <w:szCs w:val="20"/>
              </w:rPr>
            </w:pPr>
            <w:r>
              <w:rPr>
                <w:color w:val="000000"/>
                <w:sz w:val="20"/>
                <w:szCs w:val="20"/>
              </w:rPr>
              <w:t>2.435.196</w:t>
            </w:r>
          </w:p>
        </w:tc>
        <w:tc>
          <w:tcPr>
            <w:tcW w:w="1024"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20"/>
                <w:szCs w:val="20"/>
              </w:rPr>
            </w:pPr>
            <w:r>
              <w:rPr>
                <w:color w:val="000000"/>
                <w:sz w:val="20"/>
                <w:szCs w:val="20"/>
              </w:rPr>
              <w:t>3.641.139</w:t>
            </w:r>
          </w:p>
        </w:tc>
        <w:tc>
          <w:tcPr>
            <w:tcW w:w="1103"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5.928.692</w:t>
            </w:r>
          </w:p>
        </w:tc>
        <w:tc>
          <w:tcPr>
            <w:tcW w:w="114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15.945.478</w:t>
            </w:r>
          </w:p>
        </w:tc>
        <w:tc>
          <w:tcPr>
            <w:tcW w:w="91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37,88</w:t>
            </w:r>
          </w:p>
        </w:tc>
        <w:tc>
          <w:tcPr>
            <w:tcW w:w="926"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168,95%</w:t>
            </w:r>
          </w:p>
        </w:tc>
      </w:tr>
      <w:tr w:rsidR="003073A4">
        <w:trPr>
          <w:trHeight w:val="246"/>
          <w:jc w:val="center"/>
        </w:trPr>
        <w:tc>
          <w:tcPr>
            <w:tcW w:w="1837" w:type="dxa"/>
            <w:shd w:val="clear" w:color="auto" w:fill="95B3D7"/>
            <w:vAlign w:val="center"/>
          </w:tcPr>
          <w:p w:rsidR="003073A4" w:rsidRDefault="000545DD">
            <w:pPr>
              <w:pBdr>
                <w:top w:val="nil"/>
                <w:left w:val="nil"/>
                <w:bottom w:val="nil"/>
                <w:right w:val="nil"/>
                <w:between w:val="nil"/>
              </w:pBdr>
              <w:spacing w:before="13" w:line="214" w:lineRule="auto"/>
              <w:jc w:val="center"/>
              <w:rPr>
                <w:b/>
                <w:bCs/>
                <w:color w:val="000000"/>
                <w:sz w:val="18"/>
                <w:szCs w:val="18"/>
              </w:rPr>
            </w:pPr>
            <w:r>
              <w:rPr>
                <w:b/>
                <w:bCs/>
                <w:color w:val="000000"/>
                <w:sz w:val="18"/>
                <w:szCs w:val="18"/>
              </w:rPr>
              <w:t>RECURSOS DA UNIÃO - SALDO DE EXERCÍCIOS ANTERIORES</w:t>
            </w:r>
          </w:p>
        </w:tc>
        <w:tc>
          <w:tcPr>
            <w:tcW w:w="986" w:type="dxa"/>
            <w:shd w:val="clear" w:color="auto" w:fill="BFBFBF"/>
            <w:vAlign w:val="center"/>
          </w:tcPr>
          <w:p w:rsidR="003073A4" w:rsidRDefault="000545DD">
            <w:pPr>
              <w:pBdr>
                <w:top w:val="nil"/>
                <w:left w:val="nil"/>
                <w:bottom w:val="nil"/>
                <w:right w:val="nil"/>
                <w:between w:val="nil"/>
              </w:pBdr>
              <w:spacing w:before="13" w:line="214" w:lineRule="auto"/>
              <w:ind w:left="30" w:right="33"/>
              <w:jc w:val="center"/>
              <w:rPr>
                <w:color w:val="FF0000"/>
                <w:sz w:val="20"/>
                <w:szCs w:val="20"/>
              </w:rPr>
            </w:pPr>
            <w:r>
              <w:rPr>
                <w:color w:val="000000"/>
                <w:sz w:val="20"/>
                <w:szCs w:val="20"/>
              </w:rPr>
              <w:t>740.055</w:t>
            </w:r>
          </w:p>
        </w:tc>
        <w:tc>
          <w:tcPr>
            <w:tcW w:w="994" w:type="dxa"/>
            <w:shd w:val="clear" w:color="auto" w:fill="BFBFBF"/>
            <w:vAlign w:val="center"/>
          </w:tcPr>
          <w:p w:rsidR="003073A4" w:rsidRDefault="000545DD">
            <w:pPr>
              <w:pBdr>
                <w:top w:val="nil"/>
                <w:left w:val="nil"/>
                <w:bottom w:val="nil"/>
                <w:right w:val="nil"/>
                <w:between w:val="nil"/>
              </w:pBdr>
              <w:spacing w:before="13" w:line="214" w:lineRule="auto"/>
              <w:ind w:left="35" w:right="35"/>
              <w:jc w:val="center"/>
              <w:rPr>
                <w:color w:val="FF0000"/>
                <w:sz w:val="20"/>
                <w:szCs w:val="20"/>
              </w:rPr>
            </w:pPr>
            <w:r>
              <w:rPr>
                <w:color w:val="000000"/>
                <w:sz w:val="20"/>
                <w:szCs w:val="20"/>
              </w:rPr>
              <w:t>4.433.954</w:t>
            </w:r>
          </w:p>
        </w:tc>
        <w:tc>
          <w:tcPr>
            <w:tcW w:w="1024" w:type="dxa"/>
            <w:shd w:val="clear" w:color="auto" w:fill="BFBFBF"/>
            <w:vAlign w:val="center"/>
          </w:tcPr>
          <w:p w:rsidR="003073A4" w:rsidRDefault="000545DD">
            <w:pPr>
              <w:pBdr>
                <w:top w:val="nil"/>
                <w:left w:val="nil"/>
                <w:bottom w:val="nil"/>
                <w:right w:val="nil"/>
                <w:between w:val="nil"/>
              </w:pBdr>
              <w:spacing w:before="13" w:line="214" w:lineRule="auto"/>
              <w:ind w:left="33" w:right="33"/>
              <w:jc w:val="center"/>
              <w:rPr>
                <w:color w:val="FF0000"/>
                <w:sz w:val="20"/>
                <w:szCs w:val="20"/>
              </w:rPr>
            </w:pPr>
            <w:r>
              <w:rPr>
                <w:color w:val="000000"/>
                <w:sz w:val="20"/>
                <w:szCs w:val="20"/>
              </w:rPr>
              <w:t>1.312.444</w:t>
            </w:r>
          </w:p>
        </w:tc>
        <w:tc>
          <w:tcPr>
            <w:tcW w:w="1103"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0</w:t>
            </w:r>
          </w:p>
        </w:tc>
        <w:tc>
          <w:tcPr>
            <w:tcW w:w="1140" w:type="dxa"/>
            <w:shd w:val="clear" w:color="auto" w:fill="BFBFBF"/>
            <w:vAlign w:val="center"/>
          </w:tcPr>
          <w:p w:rsidR="003073A4" w:rsidRDefault="000545DD">
            <w:pPr>
              <w:pBdr>
                <w:top w:val="nil"/>
                <w:left w:val="nil"/>
                <w:bottom w:val="nil"/>
                <w:right w:val="nil"/>
                <w:between w:val="nil"/>
              </w:pBdr>
              <w:spacing w:before="13" w:line="214" w:lineRule="auto"/>
              <w:ind w:right="55"/>
              <w:jc w:val="center"/>
              <w:rPr>
                <w:color w:val="FF0000"/>
                <w:sz w:val="20"/>
                <w:szCs w:val="20"/>
              </w:rPr>
            </w:pPr>
            <w:r>
              <w:rPr>
                <w:color w:val="000000"/>
                <w:sz w:val="20"/>
                <w:szCs w:val="20"/>
              </w:rPr>
              <w:t>0</w:t>
            </w:r>
          </w:p>
        </w:tc>
        <w:tc>
          <w:tcPr>
            <w:tcW w:w="910"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0</w:t>
            </w:r>
          </w:p>
        </w:tc>
        <w:tc>
          <w:tcPr>
            <w:tcW w:w="926" w:type="dxa"/>
            <w:shd w:val="clear" w:color="auto" w:fill="BFBFBF"/>
            <w:vAlign w:val="center"/>
          </w:tcPr>
          <w:p w:rsidR="003073A4" w:rsidRDefault="000545DD">
            <w:pPr>
              <w:pBdr>
                <w:top w:val="nil"/>
                <w:left w:val="nil"/>
                <w:bottom w:val="nil"/>
                <w:right w:val="nil"/>
                <w:between w:val="nil"/>
              </w:pBdr>
              <w:spacing w:before="13" w:line="214" w:lineRule="auto"/>
              <w:ind w:left="52" w:right="55"/>
              <w:jc w:val="center"/>
              <w:rPr>
                <w:color w:val="FF0000"/>
                <w:sz w:val="20"/>
                <w:szCs w:val="20"/>
              </w:rPr>
            </w:pPr>
            <w:r>
              <w:rPr>
                <w:color w:val="000000"/>
                <w:sz w:val="20"/>
                <w:szCs w:val="20"/>
              </w:rPr>
              <w:t>0,00%</w:t>
            </w:r>
          </w:p>
        </w:tc>
      </w:tr>
    </w:tbl>
    <w:p w:rsidR="003073A4" w:rsidRDefault="000545DD">
      <w:pPr>
        <w:spacing w:line="219" w:lineRule="auto"/>
        <w:ind w:left="262" w:hanging="262"/>
        <w:rPr>
          <w:color w:val="000000"/>
          <w:sz w:val="18"/>
          <w:szCs w:val="18"/>
        </w:rPr>
      </w:pPr>
      <w:r>
        <w:rPr>
          <w:sz w:val="18"/>
          <w:szCs w:val="18"/>
        </w:rPr>
        <w:t xml:space="preserve">Fonte: </w:t>
      </w:r>
      <w:r>
        <w:rPr>
          <w:color w:val="000000"/>
          <w:sz w:val="18"/>
          <w:szCs w:val="18"/>
        </w:rPr>
        <w:t>CODPLA - Coordenadoria de Planejamento Estratégico (2026)</w:t>
      </w:r>
    </w:p>
    <w:p w:rsidR="003073A4" w:rsidRPr="00C65639" w:rsidRDefault="003073A4">
      <w:pPr>
        <w:pBdr>
          <w:top w:val="nil"/>
          <w:left w:val="nil"/>
          <w:bottom w:val="nil"/>
          <w:right w:val="nil"/>
          <w:between w:val="nil"/>
        </w:pBdr>
        <w:spacing w:before="120" w:after="120" w:line="360" w:lineRule="auto"/>
        <w:jc w:val="both"/>
        <w:rPr>
          <w:color w:val="FF0000"/>
          <w:sz w:val="10"/>
          <w:szCs w:val="10"/>
        </w:rPr>
      </w:pPr>
    </w:p>
    <w:p w:rsidR="003073A4" w:rsidRDefault="000545DD">
      <w:pPr>
        <w:pBdr>
          <w:top w:val="nil"/>
          <w:left w:val="nil"/>
          <w:bottom w:val="nil"/>
          <w:right w:val="nil"/>
          <w:between w:val="nil"/>
        </w:pBdr>
        <w:spacing w:before="120" w:after="120" w:line="360" w:lineRule="auto"/>
        <w:jc w:val="both"/>
        <w:rPr>
          <w:color w:val="000000"/>
        </w:rPr>
      </w:pPr>
      <w:r>
        <w:rPr>
          <w:color w:val="000000"/>
        </w:rPr>
        <w:t>Os investimentos realizados no Porto de Fortaleza viabilizam melhorias na operação portuária, promovendo a eficiência, a qualidade e a segurança do porto, aumentando a sua disponibilidade e competitividade operacional, além de otimizar a inteligência logística na sua gestão de acesso.</w:t>
      </w:r>
    </w:p>
    <w:p w:rsidR="003073A4" w:rsidRDefault="000545DD">
      <w:pPr>
        <w:pBdr>
          <w:top w:val="nil"/>
          <w:left w:val="nil"/>
          <w:bottom w:val="nil"/>
          <w:right w:val="nil"/>
          <w:between w:val="nil"/>
        </w:pBdr>
        <w:spacing w:before="120" w:after="120" w:line="360" w:lineRule="auto"/>
        <w:jc w:val="both"/>
        <w:rPr>
          <w:color w:val="FF0000"/>
        </w:rPr>
      </w:pPr>
      <w:r>
        <w:rPr>
          <w:color w:val="000000"/>
        </w:rPr>
        <w:t>A capacidade de movimentação portuária e armazenagem de combustíveis no estado reduz as distâncias e os custos de distribuição pelos modos rodoviário e dutoviário, contendo a alta de preços de combustíveis. A movimentação de granéis líquidos representou 50,33% da movimentação total de 2025. Os principais produtos desse grupo movimentados no Porto foram gasolina, óleo diesel, petróleo bruto e gás liquefeito de petróleo, que ainda conta com a participação, em menor volume, de querosene de aviação, óleo de palma, etanol, óleo combustível, asfalto e a exportação de óleos lubrificantes.</w:t>
      </w:r>
    </w:p>
    <w:p w:rsidR="003073A4" w:rsidRDefault="000545DD">
      <w:pPr>
        <w:spacing w:line="360" w:lineRule="auto"/>
        <w:jc w:val="both"/>
      </w:pPr>
      <w:r>
        <w:t>Em relação à movimentação de mercadorias, no exercício de 2025, o Porto de Fortaleza movimentou um total de 4,</w:t>
      </w:r>
      <w:r w:rsidR="005130D3">
        <w:t>96</w:t>
      </w:r>
      <w:r>
        <w:t xml:space="preserve"> milhões de toneladas. Quanto à exploração de áreas disponíveis, ao final de 2025, a Companhia Docas do Ceará (CDC) apresentou um percentual de 37,7% de suas áreas exploradas. </w:t>
      </w:r>
    </w:p>
    <w:p w:rsidR="003073A4" w:rsidRDefault="000545DD">
      <w:pPr>
        <w:spacing w:line="360" w:lineRule="auto"/>
        <w:jc w:val="both"/>
      </w:pPr>
      <w:r>
        <w:t xml:space="preserve">O fortalecimento das relações institucionais contribuiu para a manutenção dos contratos de arrendamento e de cessão de uso vigentes, resultando em um crescimento de 1% na receita patrimonial em comparação ao exercício anterior, em razão dos reajustes contratuais aplicados. Esse incremento representou uma arrecadação de R$ 18.455.898,49 (dezoito milhões, quatrocentos e cinquenta e cinco mil, oitocentos e noventa e oito reais e quarenta e nove centavos), frente a R$ </w:t>
      </w:r>
      <w:r>
        <w:lastRenderedPageBreak/>
        <w:t>18.205.240,26 (dezoito milhões, duzentos e cinco mil, duzentos e quarenta reais e vinte e seis centavos) registrados em 2024, provenientes da exploração das áreas do Porto de Fortaleza.</w:t>
      </w:r>
    </w:p>
    <w:p w:rsidR="003073A4" w:rsidRDefault="003073A4">
      <w:pPr>
        <w:spacing w:line="360" w:lineRule="auto"/>
        <w:jc w:val="both"/>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Comentários dos administradores sobre o desempenho</w:t>
      </w:r>
    </w:p>
    <w:p w:rsidR="003073A4" w:rsidRPr="00C65639" w:rsidRDefault="003073A4">
      <w:pPr>
        <w:pBdr>
          <w:top w:val="nil"/>
          <w:left w:val="nil"/>
          <w:bottom w:val="nil"/>
          <w:right w:val="nil"/>
          <w:between w:val="nil"/>
        </w:pBdr>
        <w:spacing w:before="120" w:after="120"/>
        <w:ind w:left="709" w:hanging="709"/>
        <w:jc w:val="both"/>
        <w:rPr>
          <w:b/>
          <w:bCs/>
          <w:color w:val="FF0000"/>
          <w:sz w:val="10"/>
          <w:szCs w:val="10"/>
        </w:rPr>
      </w:pPr>
    </w:p>
    <w:p w:rsidR="003073A4" w:rsidRDefault="000545DD">
      <w:pPr>
        <w:spacing w:before="240" w:after="240" w:line="360" w:lineRule="auto"/>
        <w:jc w:val="both"/>
      </w:pPr>
      <w:r>
        <w:t>Os resultados alcançados pela Companhia Docas do Ceará em 2025 refletem a continuidade do esforço de manutenção do equilíbrio financeiro, com registro de resultado econômico positivo no exercício e ampliação dos investimentos realizados com recursos de geração própria. No campo da governança, foram adotadas medidas de aprimoramento, com destaque para a contratação do Sistema ERP, a revisão dos riscos de integridade e a realização de campanhas nas áreas de ética, integridade e transparência.</w:t>
      </w:r>
    </w:p>
    <w:p w:rsidR="003073A4" w:rsidRDefault="000545DD">
      <w:pPr>
        <w:spacing w:before="240" w:after="240" w:line="360" w:lineRule="auto"/>
        <w:jc w:val="both"/>
      </w:pPr>
      <w:r>
        <w:t>Em relação à transparência pública ativa, a CDC manteve, durante o exercício de 2025, o cumprimento integral dos requisitos avaliados pela Controladoria-Geral da União (CGU), permanecendo no primeiro lugar no ranking da citada instituição. Como reconhecimento das práticas de transparência adotadas, a Companhia recebeu o Selo Prata do Programa Nacional de Transparência Pública, da Associação dos Membros dos Tribunais de Contas do Brasil (Atricon).</w:t>
      </w:r>
    </w:p>
    <w:p w:rsidR="003073A4" w:rsidRDefault="000545DD">
      <w:pPr>
        <w:spacing w:before="240" w:after="240" w:line="360" w:lineRule="auto"/>
        <w:jc w:val="both"/>
      </w:pPr>
      <w:r>
        <w:t>No âmbito da prospecção de parceiros e da gestão patrimonial, a Companhia avançou na estruturação de projetos de arrendamento de suas áreas.</w:t>
      </w:r>
    </w:p>
    <w:p w:rsidR="003073A4" w:rsidRDefault="000545DD">
      <w:pPr>
        <w:spacing w:before="240" w:after="240" w:line="360" w:lineRule="auto"/>
        <w:jc w:val="both"/>
      </w:pPr>
      <w:r>
        <w:t>Uma avaliação mais detalhada dos resultados, considerando as perspectivas dos instrumentos de planejamento da CDC, encontra-se apresentada a seguir.</w:t>
      </w:r>
    </w:p>
    <w:p w:rsidR="003073A4" w:rsidRDefault="000545DD">
      <w:pPr>
        <w:spacing w:before="240" w:after="240" w:line="360" w:lineRule="auto"/>
        <w:jc w:val="both"/>
      </w:pPr>
      <w:r>
        <w:t xml:space="preserve">Na </w:t>
      </w:r>
      <w:r w:rsidRPr="00AE5B3E">
        <w:t>perspectiva financeira, o EBITDA ajustado totalizou R$ 8.88</w:t>
      </w:r>
      <w:r w:rsidR="00B91362" w:rsidRPr="00AE5B3E">
        <w:t>6</w:t>
      </w:r>
      <w:r w:rsidRPr="00AE5B3E">
        <w:t xml:space="preserve"> mil em 2025, correspondendo a </w:t>
      </w:r>
      <w:r w:rsidR="00B91362" w:rsidRPr="00AE5B3E">
        <w:t>56,87</w:t>
      </w:r>
      <w:r w:rsidRPr="00AE5B3E">
        <w:t>% da meta estabelecida no Planejamento Estratégico 2025-2029, e representando variação de -13,1</w:t>
      </w:r>
      <w:r w:rsidR="00B91362" w:rsidRPr="00AE5B3E">
        <w:t>6</w:t>
      </w:r>
      <w:r w:rsidRPr="00AE5B3E">
        <w:t xml:space="preserve">% em relação ao resultado de R$ </w:t>
      </w:r>
      <w:r>
        <w:t>10.233 mil registrado em 2024.</w:t>
      </w:r>
    </w:p>
    <w:p w:rsidR="003073A4" w:rsidRDefault="000545DD">
      <w:pPr>
        <w:spacing w:before="240" w:after="240" w:line="360" w:lineRule="auto"/>
        <w:jc w:val="both"/>
      </w:pPr>
      <w:r>
        <w:t>A Receita mensurada, que considera as receitas industrial líquida, financeiras, de aluguéis e outras receitas, deduzidos os estornos, totalizou R$ 104.320 mil, correspondendo a 82,5% da meta de 2025.</w:t>
      </w:r>
    </w:p>
    <w:p w:rsidR="003073A4" w:rsidRDefault="000545DD">
      <w:pPr>
        <w:spacing w:before="240" w:after="240" w:line="360" w:lineRule="auto"/>
        <w:jc w:val="both"/>
      </w:pPr>
      <w:r>
        <w:t>O Resultado Econômico apurado foi de R$ 3.077 mil positivo, atingindo 39,1% da meta projetada de R$ 7.861 mil para o exercício. Resultados que refletem um cenário macroeconômico desafiador, ao mesmo tempo em que reafirmam a base financeira estruturada da CDC.</w:t>
      </w:r>
    </w:p>
    <w:p w:rsidR="003073A4" w:rsidRDefault="000545DD">
      <w:pPr>
        <w:spacing w:before="120" w:after="120" w:line="360" w:lineRule="auto"/>
        <w:ind w:right="195"/>
        <w:jc w:val="both"/>
      </w:pPr>
      <w:r>
        <w:t xml:space="preserve">Quanto ao Plano de ESG, foram estabelecidas 12 ações referentes ao tema para o exercício de 2025, das quais 05 ações foram completamente concluídas e as 07 ações restantes foram </w:t>
      </w:r>
      <w:r>
        <w:lastRenderedPageBreak/>
        <w:t>parcialmente finalizadas, dentre as quais 06 ações terminaram o exercício com percentual de efetivação igual ou maior do que 50%, o que ocasionou um percentual de 78,8% de execução do referido plano, sendo a meta para 2025 de 80%. O acompanhamento da implementação das citadas ações é realizado através das reuniões de monitoramento de resultados (RMR).</w:t>
      </w:r>
    </w:p>
    <w:p w:rsidR="003073A4" w:rsidRDefault="000545DD">
      <w:pPr>
        <w:spacing w:before="120" w:after="120" w:line="360" w:lineRule="auto"/>
        <w:ind w:right="195"/>
        <w:jc w:val="both"/>
        <w:rPr>
          <w:color w:val="FF0000"/>
        </w:rPr>
      </w:pPr>
      <w:r>
        <w:t xml:space="preserve">O resultado do IDA de 2025 (exercício 2024) foi 91,12, maior valor já registrado desse indicador, bem superior ao resultado de 2024 (exercício 2023), que foi 88,69. À medida que os níveis de atendimento aumentam, o índice de desempenho ambiental vai aumentando também. Até o fechamento deste relatório, o Desempenho Ambiental (IDA) para o Porto de Fortaleza no ano de 2026 (exercício 2025) ainda não foi divulgado pela ANTAQ. O acompanhamento do atendimento das ações que compõem o referido indicador é realizado por meio de reuniões mensais. </w:t>
      </w:r>
    </w:p>
    <w:p w:rsidR="003073A4" w:rsidRDefault="003073A4">
      <w:pPr>
        <w:spacing w:before="120" w:after="120" w:line="140" w:lineRule="auto"/>
        <w:ind w:right="193"/>
        <w:jc w:val="both"/>
        <w:rPr>
          <w:color w:val="FF0000"/>
        </w:rPr>
      </w:pPr>
    </w:p>
    <w:p w:rsidR="003073A4" w:rsidRDefault="000545DD">
      <w:pPr>
        <w:spacing w:before="120" w:after="120" w:line="360" w:lineRule="auto"/>
        <w:ind w:right="195"/>
        <w:jc w:val="both"/>
        <w:rPr>
          <w:sz w:val="18"/>
          <w:szCs w:val="18"/>
        </w:rPr>
      </w:pPr>
      <w:r>
        <w:rPr>
          <w:sz w:val="18"/>
          <w:szCs w:val="18"/>
        </w:rPr>
        <w:t>Tabela 5 – Resultados financeiros – Indicadores Sustentabilidade Financeira (Planejamento Estratégico 2025-2029)</w:t>
      </w:r>
    </w:p>
    <w:tbl>
      <w:tblPr>
        <w:tblStyle w:val="a7"/>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2072"/>
        <w:gridCol w:w="1984"/>
        <w:gridCol w:w="670"/>
        <w:gridCol w:w="746"/>
        <w:gridCol w:w="586"/>
        <w:gridCol w:w="893"/>
        <w:gridCol w:w="756"/>
      </w:tblGrid>
      <w:tr w:rsidR="003073A4">
        <w:trPr>
          <w:trHeight w:val="300"/>
        </w:trPr>
        <w:tc>
          <w:tcPr>
            <w:tcW w:w="1213"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2072"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1984"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670"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UN.</w:t>
            </w: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RESULT.</w:t>
            </w:r>
          </w:p>
        </w:tc>
        <w:tc>
          <w:tcPr>
            <w:tcW w:w="586"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p>
        </w:tc>
        <w:tc>
          <w:tcPr>
            <w:tcW w:w="893"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RESULT. 2025</w:t>
            </w:r>
          </w:p>
        </w:tc>
        <w:tc>
          <w:tcPr>
            <w:tcW w:w="756" w:type="dxa"/>
            <w:shd w:val="clear" w:color="auto" w:fill="203764"/>
            <w:vAlign w:val="center"/>
          </w:tcPr>
          <w:p w:rsidR="003073A4" w:rsidRDefault="000545DD">
            <w:pPr>
              <w:widowControl/>
              <w:jc w:val="center"/>
              <w:rPr>
                <w:b/>
                <w:bCs/>
                <w:color w:val="FFFFFF"/>
                <w:sz w:val="18"/>
                <w:szCs w:val="18"/>
              </w:rPr>
            </w:pPr>
            <w:r>
              <w:rPr>
                <w:b/>
                <w:bCs/>
                <w:color w:val="FFFFFF"/>
                <w:sz w:val="18"/>
                <w:szCs w:val="18"/>
              </w:rPr>
              <w:t>% META</w:t>
            </w:r>
          </w:p>
        </w:tc>
      </w:tr>
      <w:tr w:rsidR="003073A4">
        <w:trPr>
          <w:trHeight w:val="315"/>
        </w:trPr>
        <w:tc>
          <w:tcPr>
            <w:tcW w:w="1213"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2072"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1984"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670"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58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893"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5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r>
      <w:tr w:rsidR="003073A4">
        <w:trPr>
          <w:trHeight w:val="690"/>
        </w:trPr>
        <w:tc>
          <w:tcPr>
            <w:tcW w:w="1213" w:type="dxa"/>
            <w:shd w:val="clear" w:color="auto" w:fill="BFBFBF"/>
            <w:vAlign w:val="center"/>
          </w:tcPr>
          <w:p w:rsidR="003073A4" w:rsidRDefault="000545DD">
            <w:pPr>
              <w:widowControl/>
              <w:rPr>
                <w:b/>
                <w:bCs/>
                <w:sz w:val="16"/>
                <w:szCs w:val="16"/>
              </w:rPr>
            </w:pPr>
            <w:r>
              <w:rPr>
                <w:b/>
                <w:bCs/>
                <w:sz w:val="16"/>
                <w:szCs w:val="16"/>
              </w:rPr>
              <w:t>Resultado econômico</w:t>
            </w:r>
          </w:p>
        </w:tc>
        <w:tc>
          <w:tcPr>
            <w:tcW w:w="2072" w:type="dxa"/>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984" w:type="dxa"/>
            <w:shd w:val="clear" w:color="auto" w:fill="BFBFBF"/>
            <w:vAlign w:val="center"/>
          </w:tcPr>
          <w:p w:rsidR="003073A4" w:rsidRDefault="000545DD">
            <w:pPr>
              <w:widowControl/>
              <w:rPr>
                <w:sz w:val="16"/>
                <w:szCs w:val="16"/>
              </w:rPr>
            </w:pPr>
            <w:r>
              <w:rPr>
                <w:sz w:val="16"/>
                <w:szCs w:val="16"/>
              </w:rPr>
              <w:t>Lucro ou prejuízo do exercício (DRE)</w:t>
            </w:r>
          </w:p>
        </w:tc>
        <w:tc>
          <w:tcPr>
            <w:tcW w:w="670" w:type="dxa"/>
            <w:shd w:val="clear" w:color="auto" w:fill="BFBFBF"/>
            <w:vAlign w:val="center"/>
          </w:tcPr>
          <w:p w:rsidR="003073A4" w:rsidRDefault="000545DD">
            <w:pPr>
              <w:widowControl/>
              <w:jc w:val="center"/>
              <w:rPr>
                <w:sz w:val="16"/>
                <w:szCs w:val="16"/>
              </w:rPr>
            </w:pPr>
            <w:r>
              <w:rPr>
                <w:sz w:val="16"/>
                <w:szCs w:val="16"/>
              </w:rPr>
              <w:t>R$ mil</w:t>
            </w:r>
          </w:p>
        </w:tc>
        <w:tc>
          <w:tcPr>
            <w:tcW w:w="746" w:type="dxa"/>
            <w:shd w:val="clear" w:color="auto" w:fill="BFBFBF"/>
            <w:vAlign w:val="center"/>
          </w:tcPr>
          <w:p w:rsidR="003073A4" w:rsidRDefault="000545DD">
            <w:pPr>
              <w:widowControl/>
              <w:jc w:val="center"/>
              <w:rPr>
                <w:sz w:val="16"/>
                <w:szCs w:val="16"/>
              </w:rPr>
            </w:pPr>
            <w:r>
              <w:rPr>
                <w:sz w:val="16"/>
                <w:szCs w:val="16"/>
              </w:rPr>
              <w:t>14,4</w:t>
            </w:r>
          </w:p>
        </w:tc>
        <w:tc>
          <w:tcPr>
            <w:tcW w:w="586" w:type="dxa"/>
            <w:shd w:val="clear" w:color="auto" w:fill="BFBFBF"/>
            <w:vAlign w:val="center"/>
          </w:tcPr>
          <w:p w:rsidR="003073A4" w:rsidRDefault="000545DD">
            <w:pPr>
              <w:widowControl/>
              <w:jc w:val="center"/>
              <w:rPr>
                <w:color w:val="FF0000"/>
                <w:sz w:val="16"/>
                <w:szCs w:val="16"/>
              </w:rPr>
            </w:pPr>
            <w:r>
              <w:rPr>
                <w:sz w:val="16"/>
                <w:szCs w:val="16"/>
              </w:rPr>
              <w:t>7,86</w:t>
            </w:r>
          </w:p>
        </w:tc>
        <w:tc>
          <w:tcPr>
            <w:tcW w:w="893" w:type="dxa"/>
            <w:shd w:val="clear" w:color="auto" w:fill="BFBFBF"/>
            <w:vAlign w:val="center"/>
          </w:tcPr>
          <w:p w:rsidR="003073A4" w:rsidRDefault="000545DD">
            <w:pPr>
              <w:widowControl/>
              <w:jc w:val="center"/>
              <w:rPr>
                <w:sz w:val="16"/>
                <w:szCs w:val="16"/>
              </w:rPr>
            </w:pPr>
            <w:r>
              <w:rPr>
                <w:sz w:val="16"/>
                <w:szCs w:val="16"/>
              </w:rPr>
              <w:t>3,08</w:t>
            </w:r>
          </w:p>
        </w:tc>
        <w:tc>
          <w:tcPr>
            <w:tcW w:w="756" w:type="dxa"/>
            <w:shd w:val="clear" w:color="auto" w:fill="BFBFBF"/>
            <w:vAlign w:val="center"/>
          </w:tcPr>
          <w:p w:rsidR="003073A4" w:rsidRDefault="000545DD">
            <w:pPr>
              <w:widowControl/>
              <w:rPr>
                <w:sz w:val="16"/>
                <w:szCs w:val="16"/>
              </w:rPr>
            </w:pPr>
            <w:r>
              <w:rPr>
                <w:sz w:val="16"/>
                <w:szCs w:val="16"/>
              </w:rPr>
              <w:t>↓ 60,8%</w:t>
            </w:r>
          </w:p>
        </w:tc>
      </w:tr>
      <w:tr w:rsidR="003073A4">
        <w:trPr>
          <w:trHeight w:val="900"/>
        </w:trPr>
        <w:tc>
          <w:tcPr>
            <w:tcW w:w="1213" w:type="dxa"/>
            <w:shd w:val="clear" w:color="auto" w:fill="BFBFBF"/>
            <w:vAlign w:val="center"/>
          </w:tcPr>
          <w:p w:rsidR="003073A4" w:rsidRDefault="000545DD">
            <w:pPr>
              <w:widowControl/>
              <w:rPr>
                <w:b/>
                <w:bCs/>
                <w:sz w:val="16"/>
                <w:szCs w:val="16"/>
              </w:rPr>
            </w:pPr>
            <w:r>
              <w:rPr>
                <w:b/>
                <w:bCs/>
                <w:sz w:val="16"/>
                <w:szCs w:val="16"/>
              </w:rPr>
              <w:t>EBITDA</w:t>
            </w:r>
          </w:p>
        </w:tc>
        <w:tc>
          <w:tcPr>
            <w:tcW w:w="2072" w:type="dxa"/>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984" w:type="dxa"/>
            <w:shd w:val="clear" w:color="auto" w:fill="BFBFBF"/>
            <w:vAlign w:val="center"/>
          </w:tcPr>
          <w:p w:rsidR="003073A4" w:rsidRDefault="000545DD">
            <w:pPr>
              <w:widowControl/>
              <w:rPr>
                <w:sz w:val="16"/>
                <w:szCs w:val="16"/>
              </w:rPr>
            </w:pPr>
            <w:r>
              <w:rPr>
                <w:sz w:val="16"/>
                <w:szCs w:val="16"/>
              </w:rPr>
              <w:t>Resultado Econômico - Amortização - Depreciação - Variações Monetárias - Outros Custos</w:t>
            </w:r>
          </w:p>
        </w:tc>
        <w:tc>
          <w:tcPr>
            <w:tcW w:w="670" w:type="dxa"/>
            <w:shd w:val="clear" w:color="auto" w:fill="BFBFBF"/>
            <w:vAlign w:val="center"/>
          </w:tcPr>
          <w:p w:rsidR="003073A4" w:rsidRDefault="000545DD">
            <w:pPr>
              <w:widowControl/>
              <w:jc w:val="center"/>
              <w:rPr>
                <w:sz w:val="16"/>
                <w:szCs w:val="16"/>
              </w:rPr>
            </w:pPr>
            <w:r>
              <w:rPr>
                <w:sz w:val="16"/>
                <w:szCs w:val="16"/>
              </w:rPr>
              <w:t>R$ mil</w:t>
            </w:r>
          </w:p>
        </w:tc>
        <w:tc>
          <w:tcPr>
            <w:tcW w:w="746" w:type="dxa"/>
            <w:shd w:val="clear" w:color="auto" w:fill="BFBFBF"/>
            <w:vAlign w:val="center"/>
          </w:tcPr>
          <w:p w:rsidR="003073A4" w:rsidRDefault="000545DD">
            <w:pPr>
              <w:widowControl/>
              <w:jc w:val="center"/>
              <w:rPr>
                <w:sz w:val="16"/>
                <w:szCs w:val="16"/>
              </w:rPr>
            </w:pPr>
            <w:r>
              <w:rPr>
                <w:sz w:val="16"/>
                <w:szCs w:val="16"/>
              </w:rPr>
              <w:t>10,23</w:t>
            </w:r>
          </w:p>
        </w:tc>
        <w:tc>
          <w:tcPr>
            <w:tcW w:w="586" w:type="dxa"/>
            <w:shd w:val="clear" w:color="auto" w:fill="BFBFBF"/>
            <w:vAlign w:val="center"/>
          </w:tcPr>
          <w:p w:rsidR="003073A4" w:rsidRDefault="000545DD">
            <w:pPr>
              <w:widowControl/>
              <w:jc w:val="center"/>
              <w:rPr>
                <w:sz w:val="16"/>
                <w:szCs w:val="16"/>
              </w:rPr>
            </w:pPr>
            <w:r>
              <w:rPr>
                <w:sz w:val="16"/>
                <w:szCs w:val="16"/>
              </w:rPr>
              <w:t>15,58</w:t>
            </w:r>
          </w:p>
        </w:tc>
        <w:tc>
          <w:tcPr>
            <w:tcW w:w="893" w:type="dxa"/>
            <w:shd w:val="clear" w:color="auto" w:fill="BFBFBF"/>
            <w:vAlign w:val="center"/>
          </w:tcPr>
          <w:p w:rsidR="003073A4" w:rsidRDefault="000545DD" w:rsidP="00B91362">
            <w:pPr>
              <w:widowControl/>
              <w:jc w:val="center"/>
              <w:rPr>
                <w:sz w:val="16"/>
                <w:szCs w:val="16"/>
              </w:rPr>
            </w:pPr>
            <w:r>
              <w:rPr>
                <w:sz w:val="16"/>
                <w:szCs w:val="16"/>
              </w:rPr>
              <w:t>8.88</w:t>
            </w:r>
            <w:r w:rsidR="00B91362">
              <w:rPr>
                <w:sz w:val="16"/>
                <w:szCs w:val="16"/>
              </w:rPr>
              <w:t>6</w:t>
            </w:r>
          </w:p>
        </w:tc>
        <w:tc>
          <w:tcPr>
            <w:tcW w:w="756" w:type="dxa"/>
            <w:shd w:val="clear" w:color="auto" w:fill="BFBFBF"/>
            <w:vAlign w:val="center"/>
          </w:tcPr>
          <w:p w:rsidR="003073A4" w:rsidRDefault="000545DD" w:rsidP="00B91362">
            <w:pPr>
              <w:widowControl/>
              <w:rPr>
                <w:sz w:val="16"/>
                <w:szCs w:val="16"/>
              </w:rPr>
            </w:pPr>
            <w:r>
              <w:rPr>
                <w:sz w:val="16"/>
                <w:szCs w:val="16"/>
              </w:rPr>
              <w:t>↓ 4</w:t>
            </w:r>
            <w:r w:rsidR="00B91362">
              <w:rPr>
                <w:sz w:val="16"/>
                <w:szCs w:val="16"/>
              </w:rPr>
              <w:t>3</w:t>
            </w:r>
            <w:r>
              <w:rPr>
                <w:sz w:val="16"/>
                <w:szCs w:val="16"/>
              </w:rPr>
              <w:t>,</w:t>
            </w:r>
            <w:r w:rsidR="00B91362">
              <w:rPr>
                <w:sz w:val="16"/>
                <w:szCs w:val="16"/>
              </w:rPr>
              <w:t>1</w:t>
            </w:r>
            <w:r>
              <w:rPr>
                <w:sz w:val="16"/>
                <w:szCs w:val="16"/>
              </w:rPr>
              <w:t>%</w:t>
            </w:r>
          </w:p>
        </w:tc>
      </w:tr>
      <w:tr w:rsidR="003073A4">
        <w:trPr>
          <w:trHeight w:val="900"/>
        </w:trPr>
        <w:tc>
          <w:tcPr>
            <w:tcW w:w="1213" w:type="dxa"/>
            <w:shd w:val="clear" w:color="auto" w:fill="BFBFBF"/>
            <w:vAlign w:val="center"/>
          </w:tcPr>
          <w:p w:rsidR="003073A4" w:rsidRDefault="000545DD">
            <w:pPr>
              <w:widowControl/>
              <w:rPr>
                <w:b/>
                <w:bCs/>
                <w:sz w:val="16"/>
                <w:szCs w:val="16"/>
              </w:rPr>
            </w:pPr>
            <w:r>
              <w:rPr>
                <w:b/>
                <w:bCs/>
                <w:sz w:val="16"/>
                <w:szCs w:val="16"/>
              </w:rPr>
              <w:t>Receita</w:t>
            </w:r>
          </w:p>
        </w:tc>
        <w:tc>
          <w:tcPr>
            <w:tcW w:w="2072" w:type="dxa"/>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984" w:type="dxa"/>
            <w:shd w:val="clear" w:color="auto" w:fill="BFBFBF"/>
            <w:vAlign w:val="center"/>
          </w:tcPr>
          <w:p w:rsidR="003073A4" w:rsidRDefault="000545DD">
            <w:pPr>
              <w:widowControl/>
              <w:rPr>
                <w:sz w:val="16"/>
                <w:szCs w:val="16"/>
              </w:rPr>
            </w:pPr>
            <w:r>
              <w:rPr>
                <w:sz w:val="16"/>
                <w:szCs w:val="16"/>
              </w:rPr>
              <w:t>Receitas Industrial Líquida + Receitas Financeira +</w:t>
            </w:r>
          </w:p>
          <w:p w:rsidR="003073A4" w:rsidRDefault="000545DD">
            <w:pPr>
              <w:widowControl/>
              <w:rPr>
                <w:sz w:val="16"/>
                <w:szCs w:val="16"/>
              </w:rPr>
            </w:pPr>
            <w:r>
              <w:rPr>
                <w:sz w:val="16"/>
                <w:szCs w:val="16"/>
              </w:rPr>
              <w:t>Receitas de Aluguéis +  Outras receitas - Estornos</w:t>
            </w:r>
          </w:p>
        </w:tc>
        <w:tc>
          <w:tcPr>
            <w:tcW w:w="670" w:type="dxa"/>
            <w:shd w:val="clear" w:color="auto" w:fill="BFBFBF"/>
            <w:vAlign w:val="center"/>
          </w:tcPr>
          <w:p w:rsidR="003073A4" w:rsidRDefault="000545DD">
            <w:pPr>
              <w:widowControl/>
              <w:jc w:val="center"/>
              <w:rPr>
                <w:sz w:val="16"/>
                <w:szCs w:val="16"/>
              </w:rPr>
            </w:pPr>
            <w:r>
              <w:rPr>
                <w:sz w:val="16"/>
                <w:szCs w:val="16"/>
              </w:rPr>
              <w:t>R$ mil</w:t>
            </w:r>
          </w:p>
        </w:tc>
        <w:tc>
          <w:tcPr>
            <w:tcW w:w="746" w:type="dxa"/>
            <w:shd w:val="clear" w:color="auto" w:fill="BFBFBF"/>
            <w:vAlign w:val="center"/>
          </w:tcPr>
          <w:p w:rsidR="003073A4" w:rsidRDefault="000545DD">
            <w:pPr>
              <w:widowControl/>
              <w:jc w:val="center"/>
              <w:rPr>
                <w:sz w:val="16"/>
                <w:szCs w:val="16"/>
              </w:rPr>
            </w:pPr>
            <w:r>
              <w:rPr>
                <w:sz w:val="16"/>
                <w:szCs w:val="16"/>
              </w:rPr>
              <w:t>126,27</w:t>
            </w:r>
          </w:p>
        </w:tc>
        <w:tc>
          <w:tcPr>
            <w:tcW w:w="586" w:type="dxa"/>
            <w:shd w:val="clear" w:color="auto" w:fill="BFBFBF"/>
            <w:vAlign w:val="center"/>
          </w:tcPr>
          <w:p w:rsidR="003073A4" w:rsidRDefault="000545DD">
            <w:pPr>
              <w:widowControl/>
              <w:jc w:val="center"/>
              <w:rPr>
                <w:sz w:val="16"/>
                <w:szCs w:val="16"/>
              </w:rPr>
            </w:pPr>
            <w:r>
              <w:rPr>
                <w:sz w:val="16"/>
                <w:szCs w:val="16"/>
              </w:rPr>
              <w:t>126,42</w:t>
            </w:r>
          </w:p>
        </w:tc>
        <w:tc>
          <w:tcPr>
            <w:tcW w:w="893" w:type="dxa"/>
            <w:shd w:val="clear" w:color="auto" w:fill="BFBFBF"/>
            <w:vAlign w:val="center"/>
          </w:tcPr>
          <w:p w:rsidR="003073A4" w:rsidRDefault="000545DD">
            <w:pPr>
              <w:widowControl/>
              <w:jc w:val="center"/>
              <w:rPr>
                <w:sz w:val="16"/>
                <w:szCs w:val="16"/>
              </w:rPr>
            </w:pPr>
            <w:r>
              <w:rPr>
                <w:sz w:val="16"/>
                <w:szCs w:val="16"/>
              </w:rPr>
              <w:t>104,32</w:t>
            </w:r>
          </w:p>
        </w:tc>
        <w:tc>
          <w:tcPr>
            <w:tcW w:w="756" w:type="dxa"/>
            <w:shd w:val="clear" w:color="auto" w:fill="BFBFBF"/>
            <w:vAlign w:val="center"/>
          </w:tcPr>
          <w:p w:rsidR="003073A4" w:rsidRDefault="000545DD">
            <w:pPr>
              <w:widowControl/>
              <w:rPr>
                <w:sz w:val="16"/>
                <w:szCs w:val="16"/>
              </w:rPr>
            </w:pPr>
            <w:r>
              <w:rPr>
                <w:sz w:val="16"/>
                <w:szCs w:val="16"/>
              </w:rPr>
              <w:t>↓ 17,5%</w:t>
            </w:r>
          </w:p>
        </w:tc>
      </w:tr>
      <w:tr w:rsidR="003073A4">
        <w:trPr>
          <w:trHeight w:val="900"/>
        </w:trPr>
        <w:tc>
          <w:tcPr>
            <w:tcW w:w="1213" w:type="dxa"/>
            <w:shd w:val="clear" w:color="auto" w:fill="BFBFBF"/>
            <w:vAlign w:val="center"/>
          </w:tcPr>
          <w:p w:rsidR="003073A4" w:rsidRDefault="000545DD">
            <w:pPr>
              <w:widowControl/>
              <w:rPr>
                <w:b/>
                <w:bCs/>
                <w:sz w:val="16"/>
                <w:szCs w:val="16"/>
              </w:rPr>
            </w:pPr>
            <w:r>
              <w:rPr>
                <w:b/>
                <w:bCs/>
                <w:sz w:val="16"/>
                <w:szCs w:val="16"/>
              </w:rPr>
              <w:t>Plano ESG</w:t>
            </w:r>
          </w:p>
        </w:tc>
        <w:tc>
          <w:tcPr>
            <w:tcW w:w="2072" w:type="dxa"/>
            <w:shd w:val="clear" w:color="auto" w:fill="BFBFBF"/>
            <w:vAlign w:val="center"/>
          </w:tcPr>
          <w:p w:rsidR="003073A4" w:rsidRDefault="000545DD">
            <w:pPr>
              <w:widowControl/>
              <w:rPr>
                <w:sz w:val="16"/>
                <w:szCs w:val="16"/>
              </w:rPr>
            </w:pPr>
            <w:r>
              <w:rPr>
                <w:sz w:val="16"/>
                <w:szCs w:val="16"/>
              </w:rPr>
              <w:t>Promover o desenvolvimento econômico da região de influência</w:t>
            </w:r>
          </w:p>
        </w:tc>
        <w:tc>
          <w:tcPr>
            <w:tcW w:w="1984" w:type="dxa"/>
            <w:shd w:val="clear" w:color="auto" w:fill="BFBFBF"/>
            <w:vAlign w:val="center"/>
          </w:tcPr>
          <w:p w:rsidR="003073A4" w:rsidRDefault="000545DD">
            <w:pPr>
              <w:widowControl/>
              <w:rPr>
                <w:sz w:val="16"/>
                <w:szCs w:val="16"/>
              </w:rPr>
            </w:pPr>
            <w:r>
              <w:rPr>
                <w:sz w:val="16"/>
                <w:szCs w:val="16"/>
              </w:rPr>
              <w:t>Ações realizadas / Ações previstas</w:t>
            </w:r>
          </w:p>
        </w:tc>
        <w:tc>
          <w:tcPr>
            <w:tcW w:w="670"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76,7</w:t>
            </w:r>
          </w:p>
        </w:tc>
        <w:tc>
          <w:tcPr>
            <w:tcW w:w="586" w:type="dxa"/>
            <w:shd w:val="clear" w:color="auto" w:fill="BFBFBF"/>
            <w:vAlign w:val="center"/>
          </w:tcPr>
          <w:p w:rsidR="003073A4" w:rsidRDefault="000545DD">
            <w:pPr>
              <w:widowControl/>
              <w:jc w:val="center"/>
              <w:rPr>
                <w:sz w:val="16"/>
                <w:szCs w:val="16"/>
              </w:rPr>
            </w:pPr>
            <w:r>
              <w:rPr>
                <w:sz w:val="16"/>
                <w:szCs w:val="16"/>
              </w:rPr>
              <w:t>80</w:t>
            </w:r>
          </w:p>
        </w:tc>
        <w:tc>
          <w:tcPr>
            <w:tcW w:w="893" w:type="dxa"/>
            <w:shd w:val="clear" w:color="auto" w:fill="BFBFBF"/>
            <w:vAlign w:val="center"/>
          </w:tcPr>
          <w:p w:rsidR="003073A4" w:rsidRDefault="000545DD">
            <w:pPr>
              <w:widowControl/>
              <w:jc w:val="center"/>
              <w:rPr>
                <w:sz w:val="16"/>
                <w:szCs w:val="16"/>
              </w:rPr>
            </w:pPr>
            <w:r>
              <w:rPr>
                <w:sz w:val="16"/>
                <w:szCs w:val="16"/>
              </w:rPr>
              <w:t>78,8</w:t>
            </w:r>
          </w:p>
        </w:tc>
        <w:tc>
          <w:tcPr>
            <w:tcW w:w="756" w:type="dxa"/>
            <w:shd w:val="clear" w:color="auto" w:fill="BFBFBF"/>
            <w:vAlign w:val="center"/>
          </w:tcPr>
          <w:p w:rsidR="003073A4" w:rsidRDefault="000545DD">
            <w:pPr>
              <w:widowControl/>
              <w:rPr>
                <w:sz w:val="16"/>
                <w:szCs w:val="16"/>
              </w:rPr>
            </w:pPr>
            <w:r>
              <w:rPr>
                <w:sz w:val="16"/>
                <w:szCs w:val="16"/>
              </w:rPr>
              <w:t>↓ 1,50%</w:t>
            </w:r>
          </w:p>
        </w:tc>
      </w:tr>
      <w:tr w:rsidR="003073A4">
        <w:trPr>
          <w:trHeight w:val="900"/>
        </w:trPr>
        <w:tc>
          <w:tcPr>
            <w:tcW w:w="1213" w:type="dxa"/>
            <w:shd w:val="clear" w:color="auto" w:fill="BFBFBF"/>
            <w:vAlign w:val="center"/>
          </w:tcPr>
          <w:p w:rsidR="003073A4" w:rsidRDefault="000545DD">
            <w:pPr>
              <w:widowControl/>
              <w:rPr>
                <w:b/>
                <w:bCs/>
                <w:sz w:val="16"/>
                <w:szCs w:val="16"/>
              </w:rPr>
            </w:pPr>
            <w:r>
              <w:rPr>
                <w:b/>
                <w:bCs/>
                <w:sz w:val="16"/>
                <w:szCs w:val="16"/>
              </w:rPr>
              <w:t xml:space="preserve">IDA </w:t>
            </w:r>
          </w:p>
        </w:tc>
        <w:tc>
          <w:tcPr>
            <w:tcW w:w="2072" w:type="dxa"/>
            <w:shd w:val="clear" w:color="auto" w:fill="BFBFBF"/>
            <w:vAlign w:val="center"/>
          </w:tcPr>
          <w:p w:rsidR="003073A4" w:rsidRDefault="000545DD">
            <w:pPr>
              <w:widowControl/>
              <w:rPr>
                <w:sz w:val="16"/>
                <w:szCs w:val="16"/>
              </w:rPr>
            </w:pPr>
            <w:r>
              <w:rPr>
                <w:sz w:val="16"/>
                <w:szCs w:val="16"/>
              </w:rPr>
              <w:t>Realizar a atividade portuária de forma ambientalmente sustentável</w:t>
            </w:r>
          </w:p>
        </w:tc>
        <w:tc>
          <w:tcPr>
            <w:tcW w:w="1984" w:type="dxa"/>
            <w:shd w:val="clear" w:color="auto" w:fill="BFBFBF"/>
            <w:vAlign w:val="center"/>
          </w:tcPr>
          <w:p w:rsidR="003073A4" w:rsidRDefault="000545DD">
            <w:pPr>
              <w:widowControl/>
              <w:rPr>
                <w:sz w:val="16"/>
                <w:szCs w:val="16"/>
              </w:rPr>
            </w:pPr>
            <w:r>
              <w:rPr>
                <w:sz w:val="16"/>
                <w:szCs w:val="16"/>
              </w:rPr>
              <w:t>Índice geral do IDA</w:t>
            </w:r>
          </w:p>
        </w:tc>
        <w:tc>
          <w:tcPr>
            <w:tcW w:w="670"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88,69</w:t>
            </w:r>
          </w:p>
        </w:tc>
        <w:tc>
          <w:tcPr>
            <w:tcW w:w="586" w:type="dxa"/>
            <w:shd w:val="clear" w:color="auto" w:fill="BFBFBF"/>
            <w:vAlign w:val="center"/>
          </w:tcPr>
          <w:p w:rsidR="003073A4" w:rsidRDefault="000545DD">
            <w:pPr>
              <w:widowControl/>
              <w:jc w:val="center"/>
              <w:rPr>
                <w:sz w:val="16"/>
                <w:szCs w:val="16"/>
              </w:rPr>
            </w:pPr>
            <w:r>
              <w:rPr>
                <w:sz w:val="16"/>
                <w:szCs w:val="16"/>
              </w:rPr>
              <w:t>90,47</w:t>
            </w:r>
          </w:p>
        </w:tc>
        <w:tc>
          <w:tcPr>
            <w:tcW w:w="893" w:type="dxa"/>
            <w:shd w:val="clear" w:color="auto" w:fill="BFBFBF"/>
            <w:vAlign w:val="center"/>
          </w:tcPr>
          <w:p w:rsidR="003073A4" w:rsidRDefault="000545DD">
            <w:pPr>
              <w:widowControl/>
              <w:jc w:val="center"/>
              <w:rPr>
                <w:sz w:val="16"/>
                <w:szCs w:val="16"/>
              </w:rPr>
            </w:pPr>
            <w:r>
              <w:rPr>
                <w:sz w:val="16"/>
                <w:szCs w:val="16"/>
              </w:rPr>
              <w:t>91,12</w:t>
            </w:r>
          </w:p>
        </w:tc>
        <w:tc>
          <w:tcPr>
            <w:tcW w:w="756" w:type="dxa"/>
            <w:shd w:val="clear" w:color="auto" w:fill="BFBFBF"/>
            <w:vAlign w:val="center"/>
          </w:tcPr>
          <w:p w:rsidR="003073A4" w:rsidRDefault="000545DD">
            <w:pPr>
              <w:widowControl/>
              <w:jc w:val="center"/>
              <w:rPr>
                <w:sz w:val="16"/>
                <w:szCs w:val="16"/>
              </w:rPr>
            </w:pPr>
            <w:r>
              <w:rPr>
                <w:sz w:val="16"/>
                <w:szCs w:val="16"/>
              </w:rPr>
              <w:t>↑ 0,72%</w:t>
            </w:r>
          </w:p>
        </w:tc>
      </w:tr>
    </w:tbl>
    <w:p w:rsidR="003073A4" w:rsidRDefault="000545DD">
      <w:pPr>
        <w:spacing w:before="132"/>
        <w:ind w:left="222" w:hanging="222"/>
        <w:rPr>
          <w:sz w:val="18"/>
          <w:szCs w:val="18"/>
        </w:rPr>
      </w:pPr>
      <w:r>
        <w:rPr>
          <w:sz w:val="18"/>
          <w:szCs w:val="18"/>
        </w:rPr>
        <w:t xml:space="preserve">Fonte: CODPLA - Coordenadoria de Planejamento Estratégico </w:t>
      </w:r>
      <w:r w:rsidR="000A3FDE">
        <w:rPr>
          <w:sz w:val="18"/>
          <w:szCs w:val="18"/>
        </w:rPr>
        <w:t xml:space="preserve">/ CODFIN – Coordenadoria Financeira </w:t>
      </w:r>
      <w:r>
        <w:rPr>
          <w:sz w:val="18"/>
          <w:szCs w:val="18"/>
        </w:rPr>
        <w:t>(2026)</w:t>
      </w:r>
    </w:p>
    <w:p w:rsidR="003073A4" w:rsidRDefault="003073A4">
      <w:pPr>
        <w:spacing w:before="132"/>
        <w:ind w:left="222" w:hanging="222"/>
        <w:rPr>
          <w:color w:val="FF0000"/>
          <w:sz w:val="18"/>
          <w:szCs w:val="18"/>
        </w:rPr>
      </w:pPr>
    </w:p>
    <w:p w:rsidR="003073A4" w:rsidRDefault="000545DD">
      <w:pPr>
        <w:spacing w:line="360" w:lineRule="auto"/>
        <w:jc w:val="both"/>
      </w:pPr>
      <w:r>
        <w:t>No exercício de 2025, a CDC manteve seu compromisso com a excelência na comunicação institucional e no relacionamento com suas partes interessadas, registrando indicadores que, embora desafiados por metas ambiciosas estabelecidas no Planejamento Estratégico 2025-2029, refletem a solidez das entregas operacionais da Companhia.</w:t>
      </w:r>
    </w:p>
    <w:p w:rsidR="003073A4" w:rsidRDefault="000545DD">
      <w:pPr>
        <w:spacing w:before="120" w:after="120" w:line="360" w:lineRule="auto"/>
        <w:ind w:right="-4"/>
        <w:jc w:val="both"/>
      </w:pPr>
      <w:r>
        <w:t>Buscando aprimorar a relação da Companhia com</w:t>
      </w:r>
      <w:r>
        <w:rPr>
          <w:b/>
          <w:bCs/>
        </w:rPr>
        <w:t xml:space="preserve"> </w:t>
      </w:r>
      <w:r>
        <w:t>sociedade e</w:t>
      </w:r>
      <w:r>
        <w:rPr>
          <w:b/>
          <w:bCs/>
        </w:rPr>
        <w:t xml:space="preserve"> </w:t>
      </w:r>
      <w:r>
        <w:t xml:space="preserve">mercado em 2025, a CDC deu continuidade à aplicação de pesquisa de satisfação, estruturada no ano anterior, que foi novamente aplicada, de forma personalizada, junto aos Operadores Portuários e Agentes Marítimos, aos Órgãos Intervenientes e aos Arrendatários. O resultado indicou uma evolução no coeficiente de satisfação </w:t>
      </w:r>
      <w:r>
        <w:lastRenderedPageBreak/>
        <w:t>geral de 84,21, obtido em 2024, para 84,3, obtido em 2025, ficando 0,1% abaixo da meta a meta estabelecida para o ano citado, que foi de 84,42, o que evidencia a manutenção da qualidade no relacionamento com as partes interessadas e a necessidade de ações de melhoria contínua.</w:t>
      </w:r>
    </w:p>
    <w:p w:rsidR="003073A4" w:rsidRDefault="000545DD">
      <w:pPr>
        <w:spacing w:line="360" w:lineRule="auto"/>
        <w:jc w:val="both"/>
      </w:pPr>
      <w:r>
        <w:t xml:space="preserve">Em relação ao Plano de Comunicação, a CDC alcançou no exercício um total de 1.022 publicações realizadas em vários canais de comunicação, por exemplo: site da CDC, </w:t>
      </w:r>
      <w:r>
        <w:rPr>
          <w:i/>
          <w:iCs/>
        </w:rPr>
        <w:t>instagram, Facebook, LinkedIn</w:t>
      </w:r>
      <w:r>
        <w:t xml:space="preserve"> e X (antigo twitter), tendo obtido um resultado de 85,6% de execução das ações previstas no citado plano, no último exercício, resultado expressivo que demonstra a consistência da presença institucional da CDC nos seus canais digitais e tradicionais. </w:t>
      </w:r>
    </w:p>
    <w:p w:rsidR="003073A4" w:rsidRDefault="000545DD">
      <w:pPr>
        <w:spacing w:line="360" w:lineRule="auto"/>
        <w:jc w:val="both"/>
      </w:pPr>
      <w:r>
        <w:t xml:space="preserve">Em 2025, a CDC alcançou um percentual de 37,7% de suas áreas disponíveis exploradas por arrendamento ou cessão de uso, em um cenário em que a meta de 51,2% foi estabelecida considerando a realização do Leilão do Pátio de Contêineres, evento que não ocorreu dentro do exercício de 2025 por razões alheias ao planejamento interno da Companhia. Cabe destacar também que, além das áreas arrendadas e cedidas, todas as áreas operacionais localizadas na área alfandegada do Porto de Fortaleza encontram-se em pleno uso, seja por meio de arrendamentos privados ou sob gestão direta, com o uso das áreas públicas (armazéns e pátios), através dos operadores portuários pré-qualificados. Dessa forma, a ocupação dessas áreas é contínua, evidenciando tanto a elevada demanda por espaços destinados às operações portuárias quanto a alta eficiência na utilização do espaço alfandegado para as atividades operacionais. O resultado do indicador obtido foi decorrente, principalmente, da disponibilização de uma área de 1.868,74 m² (FOR 48), conforme o termo de cessão onerosa firmado com a empresa </w:t>
      </w:r>
      <w:r>
        <w:rPr>
          <w:i/>
          <w:iCs/>
        </w:rPr>
        <w:t xml:space="preserve">Global Ship </w:t>
      </w:r>
      <w:r>
        <w:t>e da cessão de uso não onerosa concedida ao OGMO – Fortaleza para exploração das seguintes áreas no Núcleo de Apoio Portuário (NAP): sala nº 04, 103,68 m² (FOR 33G); sala nº 01, 106,80 m² (FOR 33B); sala nº 09, 14,75 m² (FOR 35 S9).</w:t>
      </w:r>
    </w:p>
    <w:p w:rsidR="003073A4" w:rsidRDefault="000545DD">
      <w:pPr>
        <w:spacing w:line="360" w:lineRule="auto"/>
        <w:jc w:val="both"/>
      </w:pPr>
      <w:r>
        <w:t>A movimentação de cargas totalizou 4.959 mil toneladas em 2025, mantendo o Porto de Fortaleza em patamar operacional relevante e reafirmando sua posição estratégica no escoamento da produção. O resultado, que representa continuidade em relação ao volume histórico da Companhia, foi influenciado pelo cenário logístico nacional e pelas variações nos fluxos de granéis e cargas conteinerizadas. No exercício destacou-se o aumento na movimentação de granel sólido em 4,46%, comparado ao mesmo período em 2024, influenciado pelo crescimento na movimentação de clínquer e coque de petróleo. As movimentações de carga geral e granel líquido sofreram redução de 4,93% e 1%, respectivamente, comparadas ao mesmo período em 2024, devido a variações na conjuntura econômica. A movimentação de granel líquido representou 50,33% da movimentação total de 2025, tendo como principais produtos movimentados gasolina, óleo diesel, petróleo bruto e gás liquefeito de petróleo.</w:t>
      </w:r>
    </w:p>
    <w:p w:rsidR="003073A4" w:rsidRDefault="000545DD">
      <w:pPr>
        <w:spacing w:before="120" w:after="120" w:line="360" w:lineRule="auto"/>
        <w:ind w:right="195"/>
        <w:jc w:val="both"/>
        <w:rPr>
          <w:sz w:val="18"/>
          <w:szCs w:val="18"/>
        </w:rPr>
      </w:pPr>
      <w:r>
        <w:rPr>
          <w:sz w:val="18"/>
          <w:szCs w:val="18"/>
        </w:rPr>
        <w:lastRenderedPageBreak/>
        <w:t>Tabela 6 – Indicadores Sociedade e Mercado (Planejamento Estratégico 2025-2029)</w:t>
      </w:r>
    </w:p>
    <w:tbl>
      <w:tblPr>
        <w:tblStyle w:val="a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6"/>
        <w:gridCol w:w="1680"/>
        <w:gridCol w:w="2021"/>
        <w:gridCol w:w="649"/>
        <w:gridCol w:w="746"/>
        <w:gridCol w:w="584"/>
        <w:gridCol w:w="1021"/>
        <w:gridCol w:w="992"/>
      </w:tblGrid>
      <w:tr w:rsidR="003073A4">
        <w:trPr>
          <w:trHeight w:val="300"/>
        </w:trPr>
        <w:tc>
          <w:tcPr>
            <w:tcW w:w="1516"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1680"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2021"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649"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UN.</w:t>
            </w: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RESULT.</w:t>
            </w:r>
          </w:p>
        </w:tc>
        <w:tc>
          <w:tcPr>
            <w:tcW w:w="584"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p>
        </w:tc>
        <w:tc>
          <w:tcPr>
            <w:tcW w:w="1021"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RESULT. 2025</w:t>
            </w:r>
          </w:p>
        </w:tc>
        <w:tc>
          <w:tcPr>
            <w:tcW w:w="992" w:type="dxa"/>
            <w:shd w:val="clear" w:color="auto" w:fill="203764"/>
            <w:vAlign w:val="center"/>
          </w:tcPr>
          <w:p w:rsidR="003073A4" w:rsidRDefault="000545DD">
            <w:pPr>
              <w:widowControl/>
              <w:jc w:val="center"/>
              <w:rPr>
                <w:b/>
                <w:bCs/>
                <w:color w:val="FFFFFF"/>
                <w:sz w:val="18"/>
                <w:szCs w:val="18"/>
              </w:rPr>
            </w:pPr>
            <w:r>
              <w:rPr>
                <w:b/>
                <w:bCs/>
                <w:color w:val="FFFFFF"/>
                <w:sz w:val="18"/>
                <w:szCs w:val="18"/>
              </w:rPr>
              <w:t>% META</w:t>
            </w:r>
          </w:p>
        </w:tc>
      </w:tr>
      <w:tr w:rsidR="003073A4">
        <w:trPr>
          <w:trHeight w:val="315"/>
        </w:trPr>
        <w:tc>
          <w:tcPr>
            <w:tcW w:w="1516"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1680"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2021"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649"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584"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1021"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992"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r>
      <w:tr w:rsidR="003073A4">
        <w:trPr>
          <w:trHeight w:val="690"/>
        </w:trPr>
        <w:tc>
          <w:tcPr>
            <w:tcW w:w="1516" w:type="dxa"/>
            <w:shd w:val="clear" w:color="auto" w:fill="BFBFBF"/>
            <w:vAlign w:val="center"/>
          </w:tcPr>
          <w:p w:rsidR="003073A4" w:rsidRDefault="000545DD">
            <w:pPr>
              <w:widowControl/>
              <w:rPr>
                <w:b/>
                <w:bCs/>
                <w:sz w:val="16"/>
                <w:szCs w:val="16"/>
              </w:rPr>
            </w:pPr>
            <w:r>
              <w:rPr>
                <w:b/>
                <w:bCs/>
                <w:sz w:val="16"/>
                <w:szCs w:val="16"/>
              </w:rPr>
              <w:t>Plano de Comunicação</w:t>
            </w:r>
          </w:p>
        </w:tc>
        <w:tc>
          <w:tcPr>
            <w:tcW w:w="1680" w:type="dxa"/>
            <w:shd w:val="clear" w:color="auto" w:fill="BFBFBF"/>
            <w:vAlign w:val="center"/>
          </w:tcPr>
          <w:p w:rsidR="003073A4" w:rsidRDefault="000545DD">
            <w:pPr>
              <w:widowControl/>
              <w:rPr>
                <w:b/>
                <w:bCs/>
                <w:sz w:val="16"/>
                <w:szCs w:val="16"/>
              </w:rPr>
            </w:pPr>
            <w:r>
              <w:rPr>
                <w:sz w:val="16"/>
                <w:szCs w:val="16"/>
              </w:rPr>
              <w:t>Promover a comunicação institucional transparente, ampla e eficaz</w:t>
            </w:r>
          </w:p>
        </w:tc>
        <w:tc>
          <w:tcPr>
            <w:tcW w:w="2021" w:type="dxa"/>
            <w:shd w:val="clear" w:color="auto" w:fill="BFBFBF"/>
            <w:vAlign w:val="center"/>
          </w:tcPr>
          <w:p w:rsidR="003073A4" w:rsidRDefault="000545DD">
            <w:pPr>
              <w:widowControl/>
              <w:rPr>
                <w:sz w:val="16"/>
                <w:szCs w:val="16"/>
              </w:rPr>
            </w:pPr>
            <w:r>
              <w:rPr>
                <w:sz w:val="16"/>
                <w:szCs w:val="16"/>
              </w:rPr>
              <w:t>Ações realizadas / Ações previstas</w:t>
            </w:r>
          </w:p>
        </w:tc>
        <w:tc>
          <w:tcPr>
            <w:tcW w:w="649"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93,9</w:t>
            </w:r>
          </w:p>
        </w:tc>
        <w:tc>
          <w:tcPr>
            <w:tcW w:w="584" w:type="dxa"/>
            <w:shd w:val="clear" w:color="auto" w:fill="BFBFBF"/>
            <w:vAlign w:val="center"/>
          </w:tcPr>
          <w:p w:rsidR="003073A4" w:rsidRDefault="000545DD">
            <w:pPr>
              <w:widowControl/>
              <w:jc w:val="center"/>
              <w:rPr>
                <w:sz w:val="16"/>
                <w:szCs w:val="16"/>
              </w:rPr>
            </w:pPr>
            <w:r>
              <w:rPr>
                <w:sz w:val="16"/>
                <w:szCs w:val="16"/>
              </w:rPr>
              <w:t>90</w:t>
            </w:r>
          </w:p>
        </w:tc>
        <w:tc>
          <w:tcPr>
            <w:tcW w:w="1021" w:type="dxa"/>
            <w:shd w:val="clear" w:color="auto" w:fill="BFBFBF"/>
            <w:vAlign w:val="center"/>
          </w:tcPr>
          <w:p w:rsidR="003073A4" w:rsidRDefault="000545DD">
            <w:pPr>
              <w:widowControl/>
              <w:jc w:val="center"/>
              <w:rPr>
                <w:sz w:val="16"/>
                <w:szCs w:val="16"/>
              </w:rPr>
            </w:pPr>
            <w:r>
              <w:rPr>
                <w:sz w:val="16"/>
                <w:szCs w:val="16"/>
              </w:rPr>
              <w:t>85,6</w:t>
            </w:r>
          </w:p>
        </w:tc>
        <w:tc>
          <w:tcPr>
            <w:tcW w:w="992" w:type="dxa"/>
            <w:shd w:val="clear" w:color="auto" w:fill="BFBFBF"/>
            <w:vAlign w:val="center"/>
          </w:tcPr>
          <w:p w:rsidR="003073A4" w:rsidRDefault="000545DD">
            <w:pPr>
              <w:widowControl/>
              <w:jc w:val="center"/>
              <w:rPr>
                <w:sz w:val="16"/>
                <w:szCs w:val="16"/>
              </w:rPr>
            </w:pPr>
            <w:r>
              <w:rPr>
                <w:sz w:val="16"/>
                <w:szCs w:val="16"/>
              </w:rPr>
              <w:t>↓ 4,9%</w:t>
            </w:r>
          </w:p>
        </w:tc>
      </w:tr>
      <w:tr w:rsidR="003073A4">
        <w:trPr>
          <w:trHeight w:val="906"/>
        </w:trPr>
        <w:tc>
          <w:tcPr>
            <w:tcW w:w="1516" w:type="dxa"/>
            <w:shd w:val="clear" w:color="auto" w:fill="BFBFBF"/>
            <w:vAlign w:val="center"/>
          </w:tcPr>
          <w:p w:rsidR="003073A4" w:rsidRDefault="000545DD">
            <w:pPr>
              <w:widowControl/>
              <w:rPr>
                <w:b/>
                <w:bCs/>
                <w:sz w:val="16"/>
                <w:szCs w:val="16"/>
              </w:rPr>
            </w:pPr>
            <w:r>
              <w:rPr>
                <w:b/>
                <w:bCs/>
                <w:sz w:val="16"/>
                <w:szCs w:val="16"/>
              </w:rPr>
              <w:t>Satisfação dos usuários e stakeholders</w:t>
            </w:r>
          </w:p>
        </w:tc>
        <w:tc>
          <w:tcPr>
            <w:tcW w:w="1680" w:type="dxa"/>
            <w:shd w:val="clear" w:color="auto" w:fill="BFBFBF"/>
            <w:vAlign w:val="center"/>
          </w:tcPr>
          <w:p w:rsidR="003073A4" w:rsidRDefault="000545DD">
            <w:pPr>
              <w:widowControl/>
              <w:rPr>
                <w:b/>
                <w:bCs/>
                <w:sz w:val="16"/>
                <w:szCs w:val="16"/>
              </w:rPr>
            </w:pPr>
            <w:r>
              <w:rPr>
                <w:sz w:val="16"/>
                <w:szCs w:val="16"/>
              </w:rPr>
              <w:t>Obter excelência no relacionamento com as partes interessadas</w:t>
            </w:r>
          </w:p>
        </w:tc>
        <w:tc>
          <w:tcPr>
            <w:tcW w:w="2021" w:type="dxa"/>
            <w:shd w:val="clear" w:color="auto" w:fill="BFBFBF"/>
            <w:vAlign w:val="center"/>
          </w:tcPr>
          <w:p w:rsidR="003073A4" w:rsidRDefault="000545DD">
            <w:pPr>
              <w:widowControl/>
              <w:rPr>
                <w:sz w:val="16"/>
                <w:szCs w:val="16"/>
              </w:rPr>
            </w:pPr>
            <w:r>
              <w:rPr>
                <w:sz w:val="16"/>
                <w:szCs w:val="16"/>
              </w:rPr>
              <w:t>Nível de satisfação dos clientes do porto</w:t>
            </w:r>
          </w:p>
        </w:tc>
        <w:tc>
          <w:tcPr>
            <w:tcW w:w="649"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84,21</w:t>
            </w:r>
          </w:p>
        </w:tc>
        <w:tc>
          <w:tcPr>
            <w:tcW w:w="584" w:type="dxa"/>
            <w:shd w:val="clear" w:color="auto" w:fill="BFBFBF"/>
            <w:vAlign w:val="center"/>
          </w:tcPr>
          <w:p w:rsidR="003073A4" w:rsidRDefault="000545DD">
            <w:pPr>
              <w:widowControl/>
              <w:jc w:val="center"/>
              <w:rPr>
                <w:sz w:val="16"/>
                <w:szCs w:val="16"/>
              </w:rPr>
            </w:pPr>
            <w:r>
              <w:rPr>
                <w:sz w:val="16"/>
                <w:szCs w:val="16"/>
              </w:rPr>
              <w:t>84,42</w:t>
            </w:r>
          </w:p>
        </w:tc>
        <w:tc>
          <w:tcPr>
            <w:tcW w:w="1021" w:type="dxa"/>
            <w:shd w:val="clear" w:color="auto" w:fill="BFBFBF"/>
            <w:vAlign w:val="center"/>
          </w:tcPr>
          <w:p w:rsidR="003073A4" w:rsidRDefault="000545DD">
            <w:pPr>
              <w:widowControl/>
              <w:jc w:val="center"/>
              <w:rPr>
                <w:sz w:val="16"/>
                <w:szCs w:val="16"/>
              </w:rPr>
            </w:pPr>
            <w:r>
              <w:rPr>
                <w:sz w:val="16"/>
                <w:szCs w:val="16"/>
              </w:rPr>
              <w:t>84,3</w:t>
            </w:r>
          </w:p>
        </w:tc>
        <w:tc>
          <w:tcPr>
            <w:tcW w:w="992" w:type="dxa"/>
            <w:shd w:val="clear" w:color="auto" w:fill="BFBFBF"/>
            <w:vAlign w:val="center"/>
          </w:tcPr>
          <w:p w:rsidR="003073A4" w:rsidRDefault="000545DD">
            <w:pPr>
              <w:widowControl/>
              <w:rPr>
                <w:sz w:val="16"/>
                <w:szCs w:val="16"/>
              </w:rPr>
            </w:pPr>
            <w:r>
              <w:rPr>
                <w:sz w:val="16"/>
                <w:szCs w:val="16"/>
              </w:rPr>
              <w:t>↓ 0,1%</w:t>
            </w:r>
          </w:p>
        </w:tc>
      </w:tr>
      <w:tr w:rsidR="003073A4">
        <w:trPr>
          <w:trHeight w:val="915"/>
        </w:trPr>
        <w:tc>
          <w:tcPr>
            <w:tcW w:w="1516" w:type="dxa"/>
            <w:shd w:val="clear" w:color="auto" w:fill="BFBFBF"/>
            <w:vAlign w:val="center"/>
          </w:tcPr>
          <w:p w:rsidR="003073A4" w:rsidRDefault="000545DD">
            <w:pPr>
              <w:widowControl/>
              <w:rPr>
                <w:b/>
                <w:bCs/>
                <w:sz w:val="16"/>
                <w:szCs w:val="16"/>
              </w:rPr>
            </w:pPr>
            <w:r>
              <w:rPr>
                <w:b/>
                <w:bCs/>
                <w:sz w:val="16"/>
                <w:szCs w:val="16"/>
              </w:rPr>
              <w:t>Áreas Exploradas</w:t>
            </w:r>
          </w:p>
        </w:tc>
        <w:tc>
          <w:tcPr>
            <w:tcW w:w="1680" w:type="dxa"/>
            <w:shd w:val="clear" w:color="auto" w:fill="BFBFBF"/>
            <w:vAlign w:val="center"/>
          </w:tcPr>
          <w:p w:rsidR="003073A4" w:rsidRDefault="000545DD">
            <w:pPr>
              <w:widowControl/>
              <w:rPr>
                <w:b/>
                <w:bCs/>
                <w:sz w:val="16"/>
                <w:szCs w:val="16"/>
              </w:rPr>
            </w:pPr>
            <w:r>
              <w:rPr>
                <w:sz w:val="16"/>
                <w:szCs w:val="16"/>
              </w:rPr>
              <w:t>Potencializar o uso dos ativos do Porto por meio de novas alternativas de negócio</w:t>
            </w:r>
          </w:p>
        </w:tc>
        <w:tc>
          <w:tcPr>
            <w:tcW w:w="2021" w:type="dxa"/>
            <w:shd w:val="clear" w:color="auto" w:fill="BFBFBF"/>
            <w:vAlign w:val="center"/>
          </w:tcPr>
          <w:p w:rsidR="003073A4" w:rsidRDefault="000545DD">
            <w:pPr>
              <w:widowControl/>
              <w:rPr>
                <w:sz w:val="16"/>
                <w:szCs w:val="16"/>
              </w:rPr>
            </w:pPr>
            <w:r>
              <w:rPr>
                <w:sz w:val="16"/>
                <w:szCs w:val="16"/>
              </w:rPr>
              <w:t>Áreas arrendadas ou cedidas / Áreas total disponível para cessão ou arrendamento do PDZ X 100</w:t>
            </w:r>
          </w:p>
        </w:tc>
        <w:tc>
          <w:tcPr>
            <w:tcW w:w="649"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38,7</w:t>
            </w:r>
          </w:p>
        </w:tc>
        <w:tc>
          <w:tcPr>
            <w:tcW w:w="584" w:type="dxa"/>
            <w:shd w:val="clear" w:color="auto" w:fill="BFBFBF"/>
            <w:vAlign w:val="center"/>
          </w:tcPr>
          <w:p w:rsidR="003073A4" w:rsidRDefault="000545DD">
            <w:pPr>
              <w:widowControl/>
              <w:jc w:val="center"/>
              <w:rPr>
                <w:sz w:val="16"/>
                <w:szCs w:val="16"/>
              </w:rPr>
            </w:pPr>
            <w:r>
              <w:rPr>
                <w:sz w:val="16"/>
                <w:szCs w:val="16"/>
              </w:rPr>
              <w:t>51,2</w:t>
            </w:r>
          </w:p>
        </w:tc>
        <w:tc>
          <w:tcPr>
            <w:tcW w:w="1021" w:type="dxa"/>
            <w:shd w:val="clear" w:color="auto" w:fill="BFBFBF"/>
            <w:vAlign w:val="center"/>
          </w:tcPr>
          <w:p w:rsidR="003073A4" w:rsidRDefault="000545DD">
            <w:pPr>
              <w:widowControl/>
              <w:jc w:val="center"/>
              <w:rPr>
                <w:sz w:val="16"/>
                <w:szCs w:val="16"/>
              </w:rPr>
            </w:pPr>
            <w:r>
              <w:rPr>
                <w:sz w:val="16"/>
                <w:szCs w:val="16"/>
              </w:rPr>
              <w:t>37,7</w:t>
            </w:r>
          </w:p>
        </w:tc>
        <w:tc>
          <w:tcPr>
            <w:tcW w:w="992" w:type="dxa"/>
            <w:shd w:val="clear" w:color="auto" w:fill="BFBFBF"/>
            <w:vAlign w:val="center"/>
          </w:tcPr>
          <w:p w:rsidR="003073A4" w:rsidRDefault="000545DD">
            <w:pPr>
              <w:widowControl/>
              <w:rPr>
                <w:rFonts w:ascii="Arimo" w:eastAsia="Arimo" w:hAnsi="Arimo" w:cs="Arimo"/>
                <w:sz w:val="12"/>
                <w:szCs w:val="12"/>
              </w:rPr>
            </w:pPr>
            <w:r>
              <w:rPr>
                <w:sz w:val="16"/>
                <w:szCs w:val="16"/>
              </w:rPr>
              <w:t xml:space="preserve"> ↓ 26,4%</w:t>
            </w:r>
          </w:p>
        </w:tc>
      </w:tr>
      <w:tr w:rsidR="003073A4">
        <w:trPr>
          <w:trHeight w:val="915"/>
        </w:trPr>
        <w:tc>
          <w:tcPr>
            <w:tcW w:w="1516" w:type="dxa"/>
            <w:shd w:val="clear" w:color="auto" w:fill="BFBFBF"/>
            <w:vAlign w:val="center"/>
          </w:tcPr>
          <w:p w:rsidR="003073A4" w:rsidRDefault="000545DD">
            <w:pPr>
              <w:widowControl/>
              <w:rPr>
                <w:b/>
                <w:bCs/>
                <w:sz w:val="16"/>
                <w:szCs w:val="16"/>
              </w:rPr>
            </w:pPr>
            <w:r>
              <w:rPr>
                <w:b/>
                <w:bCs/>
                <w:sz w:val="16"/>
                <w:szCs w:val="16"/>
              </w:rPr>
              <w:t>Movimentação de cargas</w:t>
            </w:r>
          </w:p>
        </w:tc>
        <w:tc>
          <w:tcPr>
            <w:tcW w:w="1680" w:type="dxa"/>
            <w:shd w:val="clear" w:color="auto" w:fill="BFBFBF"/>
            <w:vAlign w:val="center"/>
          </w:tcPr>
          <w:p w:rsidR="003073A4" w:rsidRDefault="000545DD">
            <w:pPr>
              <w:widowControl/>
              <w:rPr>
                <w:b/>
                <w:bCs/>
                <w:sz w:val="16"/>
                <w:szCs w:val="16"/>
              </w:rPr>
            </w:pPr>
            <w:r>
              <w:rPr>
                <w:sz w:val="16"/>
                <w:szCs w:val="16"/>
              </w:rPr>
              <w:t>Potencializar o uso dos ativos do Porto por meio de novas alternativas de negócio</w:t>
            </w:r>
          </w:p>
        </w:tc>
        <w:tc>
          <w:tcPr>
            <w:tcW w:w="2021" w:type="dxa"/>
            <w:shd w:val="clear" w:color="auto" w:fill="BFBFBF"/>
            <w:vAlign w:val="center"/>
          </w:tcPr>
          <w:p w:rsidR="003073A4" w:rsidRDefault="000545DD">
            <w:pPr>
              <w:widowControl/>
              <w:rPr>
                <w:sz w:val="16"/>
                <w:szCs w:val="16"/>
              </w:rPr>
            </w:pPr>
            <w:r>
              <w:rPr>
                <w:sz w:val="16"/>
                <w:szCs w:val="16"/>
              </w:rPr>
              <w:t>Total de carga movimentada no período</w:t>
            </w:r>
          </w:p>
        </w:tc>
        <w:tc>
          <w:tcPr>
            <w:tcW w:w="649" w:type="dxa"/>
            <w:shd w:val="clear" w:color="auto" w:fill="BFBFBF"/>
            <w:vAlign w:val="center"/>
          </w:tcPr>
          <w:p w:rsidR="003073A4" w:rsidRDefault="000545DD">
            <w:pPr>
              <w:widowControl/>
              <w:jc w:val="center"/>
              <w:rPr>
                <w:sz w:val="16"/>
                <w:szCs w:val="16"/>
              </w:rPr>
            </w:pPr>
            <w:r>
              <w:rPr>
                <w:sz w:val="16"/>
                <w:szCs w:val="16"/>
              </w:rPr>
              <w:t>Mil ton.</w:t>
            </w:r>
          </w:p>
        </w:tc>
        <w:tc>
          <w:tcPr>
            <w:tcW w:w="746" w:type="dxa"/>
            <w:shd w:val="clear" w:color="auto" w:fill="BFBFBF"/>
            <w:vAlign w:val="center"/>
          </w:tcPr>
          <w:p w:rsidR="003073A4" w:rsidRDefault="000545DD">
            <w:pPr>
              <w:widowControl/>
              <w:jc w:val="center"/>
              <w:rPr>
                <w:sz w:val="16"/>
                <w:szCs w:val="16"/>
              </w:rPr>
            </w:pPr>
            <w:r>
              <w:rPr>
                <w:sz w:val="16"/>
                <w:szCs w:val="16"/>
              </w:rPr>
              <w:t>4.943</w:t>
            </w:r>
          </w:p>
        </w:tc>
        <w:tc>
          <w:tcPr>
            <w:tcW w:w="584" w:type="dxa"/>
            <w:shd w:val="clear" w:color="auto" w:fill="BFBFBF"/>
            <w:vAlign w:val="center"/>
          </w:tcPr>
          <w:p w:rsidR="003073A4" w:rsidRDefault="000545DD">
            <w:pPr>
              <w:widowControl/>
              <w:jc w:val="center"/>
              <w:rPr>
                <w:sz w:val="16"/>
                <w:szCs w:val="16"/>
              </w:rPr>
            </w:pPr>
            <w:r>
              <w:rPr>
                <w:sz w:val="16"/>
                <w:szCs w:val="16"/>
              </w:rPr>
              <w:t>5.094</w:t>
            </w:r>
          </w:p>
        </w:tc>
        <w:tc>
          <w:tcPr>
            <w:tcW w:w="1021" w:type="dxa"/>
            <w:shd w:val="clear" w:color="auto" w:fill="BFBFBF"/>
            <w:vAlign w:val="center"/>
          </w:tcPr>
          <w:p w:rsidR="003073A4" w:rsidRDefault="000545DD">
            <w:pPr>
              <w:widowControl/>
              <w:jc w:val="center"/>
              <w:rPr>
                <w:sz w:val="16"/>
                <w:szCs w:val="16"/>
              </w:rPr>
            </w:pPr>
            <w:r>
              <w:rPr>
                <w:sz w:val="16"/>
                <w:szCs w:val="16"/>
              </w:rPr>
              <w:t>4.959</w:t>
            </w:r>
          </w:p>
        </w:tc>
        <w:tc>
          <w:tcPr>
            <w:tcW w:w="992" w:type="dxa"/>
            <w:shd w:val="clear" w:color="auto" w:fill="BFBFBF"/>
            <w:vAlign w:val="center"/>
          </w:tcPr>
          <w:p w:rsidR="003073A4" w:rsidRDefault="000545DD">
            <w:pPr>
              <w:widowControl/>
              <w:rPr>
                <w:sz w:val="16"/>
                <w:szCs w:val="16"/>
              </w:rPr>
            </w:pPr>
            <w:r>
              <w:rPr>
                <w:sz w:val="16"/>
                <w:szCs w:val="16"/>
              </w:rPr>
              <w:t>↓2,65%</w:t>
            </w:r>
          </w:p>
        </w:tc>
      </w:tr>
    </w:tbl>
    <w:p w:rsidR="003073A4" w:rsidRDefault="000545DD">
      <w:pPr>
        <w:spacing w:line="219" w:lineRule="auto"/>
        <w:ind w:left="262" w:hanging="262"/>
        <w:rPr>
          <w:color w:val="000000"/>
          <w:sz w:val="18"/>
          <w:szCs w:val="18"/>
        </w:rPr>
      </w:pPr>
      <w:r>
        <w:rPr>
          <w:sz w:val="18"/>
          <w:szCs w:val="18"/>
        </w:rPr>
        <w:t xml:space="preserve">Fonte: </w:t>
      </w:r>
      <w:r>
        <w:rPr>
          <w:color w:val="000000"/>
          <w:sz w:val="18"/>
          <w:szCs w:val="18"/>
        </w:rPr>
        <w:t>CODPLA - Coordenadoria de Planejamento Estratégico (2026)</w:t>
      </w:r>
    </w:p>
    <w:p w:rsidR="003073A4" w:rsidRDefault="003073A4">
      <w:pPr>
        <w:spacing w:before="24"/>
        <w:ind w:left="222" w:hanging="222"/>
        <w:rPr>
          <w:color w:val="FF0000"/>
          <w:sz w:val="18"/>
          <w:szCs w:val="18"/>
        </w:rPr>
      </w:pPr>
    </w:p>
    <w:p w:rsidR="003073A4" w:rsidRDefault="000545DD">
      <w:pPr>
        <w:pBdr>
          <w:top w:val="nil"/>
          <w:left w:val="nil"/>
          <w:bottom w:val="nil"/>
          <w:right w:val="nil"/>
          <w:between w:val="nil"/>
        </w:pBdr>
        <w:spacing w:before="120" w:after="120" w:line="360" w:lineRule="auto"/>
        <w:ind w:right="-4"/>
        <w:jc w:val="both"/>
      </w:pPr>
      <w:r>
        <w:t xml:space="preserve">Em 2025, a CDC buscou o aprimoramento de sua governança, tendo adotado medidas, como a revisão de riscos de integridade, campanhas nas áreas de ética, integridade e transparência, dentre outras. Foi realizado o 7º ciclo de avaliação do Indicador de Governança e Políticas Públicas da Secretaria de Coordenação e Governança das Empresas Estatais (IG-SEST) em 2025, tendo o resultado sido organizado em três dimensões: Dimensão 1 – Governança Corporativa (órgãos de governança, auditoria, transparência, integridade, riscos, licitações e contratos), Dimensão 2 – Políticas Públicas (alinhamento, monitoramento, transparência e divulgação) e Dimensão 3 – Boas Práticas e Inovação (inovação, responsabilidade socioambiental e diversidade, equidade e inclusão), apresentados os blocos temáticos por meio de gráficos e tabelas que permitem comparar o desempenho da empresa com a média do setor.  A CDC alcançou classificação de Excelência nas dimensões de Governança Corporativa (90,28) e Políticas Públicas (93,33), e nível Intermediário na dimensão de Boas Práticas e Inovação (53,77). Os resultados de Governança Corporativa e Políticas Públicas posicionam a CDC entre as autoridades portuárias federais com melhor desempenho no setor de Infraestrutura e Transportes, refletindo o compromisso da Companhia com a maturidade institucional, a transparência, a conformidade legal e a efetiva contribuição para as políticas públicas prioritárias do Estado brasileiro. O resultado na dimensão de Boas Práticas e Inovação, classificado </w:t>
      </w:r>
      <w:r w:rsidR="00656365">
        <w:t>como intermediário</w:t>
      </w:r>
      <w:r>
        <w:t xml:space="preserve">, está alinhado ao padrão observado no setor de Infraestrutura e Transportes como um todo — dimensão que o próprio relatório sintético da SEST/MGI reconhece como a de maior desafio nesta edição, em razão da inovação metodológica que passou a exigir maior capacidade de demonstração e divulgação dos impactos das iniciativas adotadas. A CDC identifica nesse resultado uma oportunidade concreta de desenvolvimento, com foco no fortalecimento das práticas </w:t>
      </w:r>
      <w:r>
        <w:lastRenderedPageBreak/>
        <w:t>socioambientais, da agenda de diversidade e inclusão e da estruturação de indicadores de inovação, dimensões que integrarão os próximos ciclos de planejamento estratégico da Companhia.</w:t>
      </w:r>
    </w:p>
    <w:p w:rsidR="003073A4" w:rsidRDefault="000545DD">
      <w:pPr>
        <w:pBdr>
          <w:top w:val="nil"/>
          <w:left w:val="nil"/>
          <w:bottom w:val="nil"/>
          <w:right w:val="nil"/>
          <w:between w:val="nil"/>
        </w:pBdr>
        <w:spacing w:before="120" w:after="120" w:line="360" w:lineRule="auto"/>
        <w:ind w:right="195"/>
        <w:jc w:val="both"/>
      </w:pPr>
      <w:r>
        <w:t xml:space="preserve">O Índice de Gestão das Autoridades Portuárias (IGAP) alcançou 8,3, superando em 15,28% a meta estabelecida de 7,2 e representando crescimento significativo frente ao resultado de 2024. A melhoria no resultado do indicador concedeu à CDC o reconhecimento pelo avanço em gestão, tendo conquistado o 1º lugar nacional, categoria avanço </w:t>
      </w:r>
      <w:r w:rsidR="00656365">
        <w:t>IGAP, na</w:t>
      </w:r>
      <w:r>
        <w:t xml:space="preserve"> 6ª edição do Prêmio Portos + Brasil, evento promovido pelo Ministério de Portos e Aeroportos (MPOR).</w:t>
      </w:r>
    </w:p>
    <w:p w:rsidR="003073A4" w:rsidRDefault="000545DD">
      <w:pPr>
        <w:spacing w:before="120" w:after="120" w:line="360" w:lineRule="auto"/>
        <w:ind w:right="195"/>
        <w:jc w:val="both"/>
        <w:rPr>
          <w:highlight w:val="yellow"/>
        </w:rPr>
      </w:pPr>
      <w:r>
        <w:t xml:space="preserve">Em relação ao indicador sobre ações de integridade, de 22 ações previstas no Programa de Integridade da CDC 2025, 19 ações foram concluídas, representando a execução de 86,4% das ações previstas no citado </w:t>
      </w:r>
      <w:r w:rsidR="00656365">
        <w:t>programa, resultado</w:t>
      </w:r>
      <w:r>
        <w:t xml:space="preserve"> que, embora 4% abaixo da meta de 90%, evidencia o comprometimento da Companhia com sua agenda de integridade corporativa. Dentre as ações executadas do referido programa, destaca-se palestra sobre o modelo de maturidade em Integridade Pública; treinamentos: ouvidoria - sobre prevenção e enfrentamento do assédio sexual e moral, controle interno, sobre gestão de riscos, e, sobre aperfeiçoamento do processo de investigação de ilícitos; campanhas de ouvidoria; revisão de riscos de integridade; e, Sistema de Governança da CDC - Gerenciamento de Riscos, reforçando a cultura de transparência e conformidade na CDC.</w:t>
      </w:r>
    </w:p>
    <w:p w:rsidR="003073A4" w:rsidRDefault="000545DD">
      <w:pPr>
        <w:spacing w:before="120" w:after="120" w:line="360" w:lineRule="auto"/>
        <w:ind w:right="193"/>
        <w:jc w:val="both"/>
      </w:pPr>
      <w:r>
        <w:t xml:space="preserve">O indicador Plano de Segurança da CDC atingiu 61,1% de execução das atividades previstas em 2025 — evolução de 83,5% frente ao resultado de 33,3% registrado em 2024. O avanço demonstra a aceleração das iniciativas de segurança implementadas pela Companhia, ainda que a meta de 80% estabelecida para o exercício não tenha sido integralmente alcançada. </w:t>
      </w:r>
    </w:p>
    <w:p w:rsidR="003073A4" w:rsidRDefault="000545DD">
      <w:pPr>
        <w:spacing w:before="120" w:after="120" w:line="360" w:lineRule="auto"/>
        <w:jc w:val="both"/>
      </w:pPr>
      <w:r>
        <w:t>A Execução Orçamentária de Investimentos foi um dos destaques positivos do exercício, com 37,88% de execução — superando em 26,27% a meta de 30% e representando crescimento de 75% em relação ao índice de 21,6% registrado em 2024. Esse resultado evidencia a maturidade crescente da CDC na gestão e execução de seus projetos de infraestrutura, suportada pela atuação do Escritório de Gerenciamento de Projetos (EGP), que adota as boas práticas do PMBOK com monitoramento semanal e sistemático dos projetos estratégicos, o que tem contribuído para a melhoria da governança e para o fortalecimento da cultura de gestão por resultados na organização. A CDC encerrou o exercício de 2025 com uma execução de R$ 15.945.478, do total autorizado de R$ 42.099.795, correspondendo ao percentual de 37,88%.</w:t>
      </w:r>
    </w:p>
    <w:p w:rsidR="003073A4" w:rsidRDefault="000545DD">
      <w:pPr>
        <w:spacing w:before="120" w:after="120" w:line="360" w:lineRule="auto"/>
        <w:jc w:val="both"/>
      </w:pPr>
      <w:r>
        <w:t xml:space="preserve">O Plano de Ações de TI registrou 68,7% de execução em 2025, com crescimento frente aos 40% de 2024, refletindo os investimentos da Companhia na modernização de seus processos e ativos tecnológicos. A meta de 80% para o exercício não foi integralmente atingida, mas a evolução de </w:t>
      </w:r>
      <w:r>
        <w:lastRenderedPageBreak/>
        <w:t>71,75% em relação ao ano anterior sinaliza um aumento no foco com a agenda de transformação digital da CDC.</w:t>
      </w:r>
    </w:p>
    <w:p w:rsidR="003073A4" w:rsidRDefault="000545DD">
      <w:pPr>
        <w:spacing w:before="120" w:after="120" w:line="360" w:lineRule="auto"/>
        <w:jc w:val="both"/>
      </w:pPr>
      <w:r>
        <w:t>O resultado de maior destaque da perspectiva de Processos foi o desempenho operacional da Prancha Média Líquida, com superação das metas em todas as quatro modalidades de carga. O Granel Líquido liderou os resultados com 72,1 ton/h — equivalente a 106% acima da meta de 35 ton/h —, seguido pelo Granel Sólido Cereal (446,9 ton/h, +31,44%), Contêiner (24,6 ton/h, +36,67%) e Granel Sólido Mineral (264,9 ton/h, +12,72%). Esses índices confirmam a elevada eficiência operacional do Porto de Fortaleza e a qualidade dos serviços prestados aos operadores portuários e usuários, posicionando a CDC com competitividade crescente no cenário portuário nacional.</w:t>
      </w:r>
    </w:p>
    <w:p w:rsidR="003073A4" w:rsidRDefault="000545DD">
      <w:pPr>
        <w:spacing w:before="120" w:after="120" w:line="360" w:lineRule="auto"/>
        <w:jc w:val="both"/>
        <w:rPr>
          <w:color w:val="FF0000"/>
          <w:sz w:val="18"/>
          <w:szCs w:val="18"/>
          <w:highlight w:val="yellow"/>
        </w:rPr>
      </w:pPr>
      <w:r>
        <w:t>No exercício de 2025, a perspectiva de Processos Internos registrou avanços expressivos e consistentes, com destaque para a superação das metas de produtividade operacional em todas as modalidades de carga e para o fortalecimento contínuo da governança institucional.</w:t>
      </w:r>
    </w:p>
    <w:p w:rsidR="003073A4" w:rsidRDefault="003073A4">
      <w:pPr>
        <w:spacing w:before="120" w:after="240" w:line="219" w:lineRule="auto"/>
        <w:ind w:left="221" w:hanging="221"/>
        <w:rPr>
          <w:color w:val="FF0000"/>
          <w:sz w:val="18"/>
          <w:szCs w:val="18"/>
          <w:highlight w:val="yellow"/>
        </w:rPr>
      </w:pPr>
    </w:p>
    <w:p w:rsidR="003073A4" w:rsidRDefault="000545DD">
      <w:pPr>
        <w:spacing w:before="120" w:after="240" w:line="219" w:lineRule="auto"/>
        <w:ind w:left="221" w:hanging="221"/>
        <w:rPr>
          <w:sz w:val="18"/>
          <w:szCs w:val="18"/>
        </w:rPr>
      </w:pPr>
      <w:r>
        <w:rPr>
          <w:sz w:val="18"/>
          <w:szCs w:val="18"/>
        </w:rPr>
        <w:t xml:space="preserve">Tabela 7 – Indicadores Processos (Planejamento Estratégico 2025-2029) </w:t>
      </w:r>
    </w:p>
    <w:tbl>
      <w:tblPr>
        <w:tblStyle w:val="a9"/>
        <w:tblW w:w="92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1170"/>
        <w:gridCol w:w="1399"/>
        <w:gridCol w:w="1120"/>
        <w:gridCol w:w="524"/>
        <w:gridCol w:w="746"/>
        <w:gridCol w:w="701"/>
        <w:gridCol w:w="1062"/>
        <w:gridCol w:w="909"/>
      </w:tblGrid>
      <w:tr w:rsidR="003073A4">
        <w:trPr>
          <w:trHeight w:val="300"/>
        </w:trPr>
        <w:tc>
          <w:tcPr>
            <w:tcW w:w="1589"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1170"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2519" w:type="dxa"/>
            <w:gridSpan w:val="2"/>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524"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UN.</w:t>
            </w: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RESULT.</w:t>
            </w:r>
          </w:p>
        </w:tc>
        <w:tc>
          <w:tcPr>
            <w:tcW w:w="701"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p>
        </w:tc>
        <w:tc>
          <w:tcPr>
            <w:tcW w:w="1062"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 xml:space="preserve">RESULT. </w:t>
            </w:r>
          </w:p>
          <w:p w:rsidR="003073A4" w:rsidRDefault="000545DD">
            <w:pPr>
              <w:widowControl/>
              <w:jc w:val="center"/>
              <w:rPr>
                <w:b/>
                <w:bCs/>
                <w:color w:val="FFFFFF"/>
                <w:sz w:val="18"/>
                <w:szCs w:val="18"/>
              </w:rPr>
            </w:pPr>
            <w:r>
              <w:rPr>
                <w:b/>
                <w:bCs/>
                <w:color w:val="FFFFFF"/>
                <w:sz w:val="18"/>
                <w:szCs w:val="18"/>
              </w:rPr>
              <w:t>2025</w:t>
            </w:r>
          </w:p>
        </w:tc>
        <w:tc>
          <w:tcPr>
            <w:tcW w:w="909" w:type="dxa"/>
            <w:shd w:val="clear" w:color="auto" w:fill="203764"/>
            <w:vAlign w:val="center"/>
          </w:tcPr>
          <w:p w:rsidR="003073A4" w:rsidRDefault="000545DD">
            <w:pPr>
              <w:widowControl/>
              <w:jc w:val="center"/>
              <w:rPr>
                <w:b/>
                <w:bCs/>
                <w:color w:val="FFFFFF"/>
                <w:sz w:val="18"/>
                <w:szCs w:val="18"/>
              </w:rPr>
            </w:pPr>
            <w:r>
              <w:rPr>
                <w:b/>
                <w:bCs/>
                <w:color w:val="FFFFFF"/>
                <w:sz w:val="18"/>
                <w:szCs w:val="18"/>
              </w:rPr>
              <w:t>% META</w:t>
            </w:r>
          </w:p>
        </w:tc>
      </w:tr>
      <w:tr w:rsidR="003073A4">
        <w:trPr>
          <w:trHeight w:val="315"/>
        </w:trPr>
        <w:tc>
          <w:tcPr>
            <w:tcW w:w="1589"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1170"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2519" w:type="dxa"/>
            <w:gridSpan w:val="2"/>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524"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701"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1062"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909"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r>
      <w:tr w:rsidR="003073A4">
        <w:trPr>
          <w:trHeight w:val="1365"/>
        </w:trPr>
        <w:tc>
          <w:tcPr>
            <w:tcW w:w="1589" w:type="dxa"/>
            <w:shd w:val="clear" w:color="auto" w:fill="BFBFBF"/>
            <w:vAlign w:val="center"/>
          </w:tcPr>
          <w:p w:rsidR="003073A4" w:rsidRDefault="000545DD">
            <w:pPr>
              <w:widowControl/>
              <w:rPr>
                <w:b/>
                <w:bCs/>
                <w:sz w:val="16"/>
                <w:szCs w:val="16"/>
              </w:rPr>
            </w:pPr>
            <w:r>
              <w:rPr>
                <w:b/>
                <w:bCs/>
                <w:sz w:val="16"/>
                <w:szCs w:val="16"/>
              </w:rPr>
              <w:t>IG-SEST</w:t>
            </w:r>
          </w:p>
        </w:tc>
        <w:tc>
          <w:tcPr>
            <w:tcW w:w="1170" w:type="dxa"/>
            <w:shd w:val="clear" w:color="auto" w:fill="BFBFBF"/>
            <w:vAlign w:val="center"/>
          </w:tcPr>
          <w:p w:rsidR="003073A4" w:rsidRDefault="000545DD">
            <w:pPr>
              <w:widowControl/>
              <w:rPr>
                <w:b/>
                <w:bCs/>
                <w:color w:val="FF0000"/>
                <w:sz w:val="16"/>
                <w:szCs w:val="16"/>
              </w:rPr>
            </w:pPr>
            <w:r>
              <w:rPr>
                <w:sz w:val="16"/>
                <w:szCs w:val="16"/>
              </w:rPr>
              <w:t>Aprimorar e padronizar os processos e os instrumentos de governança, controle e integridade</w:t>
            </w:r>
          </w:p>
        </w:tc>
        <w:tc>
          <w:tcPr>
            <w:tcW w:w="2519" w:type="dxa"/>
            <w:gridSpan w:val="2"/>
            <w:shd w:val="clear" w:color="auto" w:fill="BFBFBF"/>
            <w:vAlign w:val="center"/>
          </w:tcPr>
          <w:p w:rsidR="003073A4" w:rsidRDefault="000545DD">
            <w:pPr>
              <w:widowControl/>
              <w:rPr>
                <w:color w:val="FF0000"/>
                <w:sz w:val="16"/>
                <w:szCs w:val="16"/>
              </w:rPr>
            </w:pPr>
            <w:r>
              <w:rPr>
                <w:sz w:val="16"/>
                <w:szCs w:val="16"/>
              </w:rPr>
              <w:t>Índice geral do IG-SEST</w:t>
            </w:r>
          </w:p>
        </w:tc>
        <w:tc>
          <w:tcPr>
            <w:tcW w:w="524" w:type="dxa"/>
            <w:shd w:val="clear" w:color="auto" w:fill="BFBFBF"/>
            <w:vAlign w:val="center"/>
          </w:tcPr>
          <w:p w:rsidR="003073A4" w:rsidRDefault="000545DD">
            <w:pPr>
              <w:widowControl/>
              <w:jc w:val="center"/>
              <w:rPr>
                <w:sz w:val="16"/>
                <w:szCs w:val="16"/>
              </w:rPr>
            </w:pPr>
            <w:r>
              <w:rPr>
                <w:sz w:val="16"/>
                <w:szCs w:val="16"/>
              </w:rPr>
              <w:t>Un.</w:t>
            </w:r>
          </w:p>
        </w:tc>
        <w:tc>
          <w:tcPr>
            <w:tcW w:w="746" w:type="dxa"/>
            <w:shd w:val="clear" w:color="auto" w:fill="BFBFBF"/>
            <w:vAlign w:val="center"/>
          </w:tcPr>
          <w:p w:rsidR="003073A4" w:rsidRDefault="000545DD">
            <w:pPr>
              <w:widowControl/>
              <w:jc w:val="center"/>
              <w:rPr>
                <w:color w:val="FF0000"/>
                <w:sz w:val="16"/>
                <w:szCs w:val="16"/>
              </w:rPr>
            </w:pPr>
            <w:r>
              <w:rPr>
                <w:sz w:val="16"/>
                <w:szCs w:val="16"/>
              </w:rPr>
              <w:t>- *</w:t>
            </w:r>
          </w:p>
        </w:tc>
        <w:tc>
          <w:tcPr>
            <w:tcW w:w="701" w:type="dxa"/>
            <w:shd w:val="clear" w:color="auto" w:fill="BFBFBF"/>
            <w:vAlign w:val="center"/>
          </w:tcPr>
          <w:p w:rsidR="003073A4" w:rsidRDefault="000545DD">
            <w:pPr>
              <w:widowControl/>
              <w:jc w:val="center"/>
              <w:rPr>
                <w:color w:val="FF0000"/>
                <w:sz w:val="16"/>
                <w:szCs w:val="16"/>
              </w:rPr>
            </w:pPr>
            <w:r>
              <w:rPr>
                <w:sz w:val="16"/>
                <w:szCs w:val="16"/>
              </w:rPr>
              <w:t>8,9</w:t>
            </w:r>
          </w:p>
        </w:tc>
        <w:tc>
          <w:tcPr>
            <w:tcW w:w="1062" w:type="dxa"/>
            <w:shd w:val="clear" w:color="auto" w:fill="BFBFBF"/>
            <w:vAlign w:val="center"/>
          </w:tcPr>
          <w:p w:rsidR="003073A4" w:rsidRDefault="000545DD">
            <w:pPr>
              <w:widowControl/>
              <w:jc w:val="center"/>
              <w:rPr>
                <w:sz w:val="16"/>
                <w:szCs w:val="16"/>
              </w:rPr>
            </w:pPr>
            <w:r>
              <w:rPr>
                <w:sz w:val="16"/>
                <w:szCs w:val="16"/>
              </w:rPr>
              <w:t>- **</w:t>
            </w:r>
          </w:p>
        </w:tc>
        <w:tc>
          <w:tcPr>
            <w:tcW w:w="909" w:type="dxa"/>
            <w:shd w:val="clear" w:color="auto" w:fill="BFBFBF"/>
            <w:vAlign w:val="center"/>
          </w:tcPr>
          <w:p w:rsidR="003073A4" w:rsidRDefault="000545DD">
            <w:pPr>
              <w:widowControl/>
              <w:jc w:val="center"/>
              <w:rPr>
                <w:sz w:val="16"/>
                <w:szCs w:val="16"/>
              </w:rPr>
            </w:pPr>
            <w:r>
              <w:rPr>
                <w:sz w:val="16"/>
                <w:szCs w:val="16"/>
              </w:rPr>
              <w:t>-</w:t>
            </w:r>
          </w:p>
        </w:tc>
      </w:tr>
      <w:tr w:rsidR="003073A4">
        <w:trPr>
          <w:trHeight w:val="915"/>
        </w:trPr>
        <w:tc>
          <w:tcPr>
            <w:tcW w:w="1589" w:type="dxa"/>
            <w:shd w:val="clear" w:color="auto" w:fill="BFBFBF"/>
            <w:vAlign w:val="center"/>
          </w:tcPr>
          <w:p w:rsidR="003073A4" w:rsidRDefault="000545DD">
            <w:pPr>
              <w:widowControl/>
              <w:rPr>
                <w:b/>
                <w:bCs/>
                <w:sz w:val="16"/>
                <w:szCs w:val="16"/>
              </w:rPr>
            </w:pPr>
            <w:r>
              <w:rPr>
                <w:b/>
                <w:bCs/>
                <w:sz w:val="16"/>
                <w:szCs w:val="16"/>
              </w:rPr>
              <w:t>Índice de Gestão das Autoridades Portuárias (IGAP)</w:t>
            </w:r>
          </w:p>
        </w:tc>
        <w:tc>
          <w:tcPr>
            <w:tcW w:w="1170" w:type="dxa"/>
            <w:shd w:val="clear" w:color="auto" w:fill="BFBFBF"/>
            <w:vAlign w:val="center"/>
          </w:tcPr>
          <w:p w:rsidR="003073A4" w:rsidRDefault="000545DD">
            <w:pPr>
              <w:widowControl/>
              <w:rPr>
                <w:color w:val="FF0000"/>
                <w:sz w:val="16"/>
                <w:szCs w:val="16"/>
              </w:rPr>
            </w:pPr>
            <w:r>
              <w:rPr>
                <w:sz w:val="16"/>
                <w:szCs w:val="16"/>
              </w:rPr>
              <w:t>Aprimorar e padronizar os processos e os instrumentos de governança, controle e integridade</w:t>
            </w:r>
          </w:p>
        </w:tc>
        <w:tc>
          <w:tcPr>
            <w:tcW w:w="2519" w:type="dxa"/>
            <w:gridSpan w:val="2"/>
            <w:shd w:val="clear" w:color="auto" w:fill="BFBFBF"/>
            <w:vAlign w:val="center"/>
          </w:tcPr>
          <w:p w:rsidR="003073A4" w:rsidRDefault="000545DD">
            <w:pPr>
              <w:widowControl/>
              <w:rPr>
                <w:color w:val="FF0000"/>
                <w:sz w:val="16"/>
                <w:szCs w:val="16"/>
              </w:rPr>
            </w:pPr>
            <w:r>
              <w:rPr>
                <w:sz w:val="16"/>
                <w:szCs w:val="16"/>
              </w:rPr>
              <w:t>Índice geral do IGAP</w:t>
            </w:r>
          </w:p>
        </w:tc>
        <w:tc>
          <w:tcPr>
            <w:tcW w:w="524" w:type="dxa"/>
            <w:shd w:val="clear" w:color="auto" w:fill="BFBFBF"/>
            <w:vAlign w:val="center"/>
          </w:tcPr>
          <w:p w:rsidR="003073A4" w:rsidRDefault="000545DD">
            <w:pPr>
              <w:widowControl/>
              <w:jc w:val="center"/>
              <w:rPr>
                <w:sz w:val="16"/>
                <w:szCs w:val="16"/>
              </w:rPr>
            </w:pPr>
            <w:r>
              <w:rPr>
                <w:sz w:val="16"/>
                <w:szCs w:val="16"/>
              </w:rPr>
              <w:t>Un.</w:t>
            </w:r>
          </w:p>
        </w:tc>
        <w:tc>
          <w:tcPr>
            <w:tcW w:w="746" w:type="dxa"/>
            <w:shd w:val="clear" w:color="auto" w:fill="BFBFBF"/>
            <w:vAlign w:val="center"/>
          </w:tcPr>
          <w:p w:rsidR="003073A4" w:rsidRDefault="000545DD">
            <w:pPr>
              <w:widowControl/>
              <w:jc w:val="center"/>
              <w:rPr>
                <w:sz w:val="16"/>
                <w:szCs w:val="16"/>
              </w:rPr>
            </w:pPr>
            <w:r>
              <w:rPr>
                <w:sz w:val="16"/>
                <w:szCs w:val="16"/>
              </w:rPr>
              <w:t>7,2</w:t>
            </w:r>
          </w:p>
        </w:tc>
        <w:tc>
          <w:tcPr>
            <w:tcW w:w="701" w:type="dxa"/>
            <w:shd w:val="clear" w:color="auto" w:fill="BFBFBF"/>
            <w:vAlign w:val="center"/>
          </w:tcPr>
          <w:p w:rsidR="003073A4" w:rsidRDefault="000545DD">
            <w:pPr>
              <w:widowControl/>
              <w:jc w:val="center"/>
              <w:rPr>
                <w:sz w:val="16"/>
                <w:szCs w:val="16"/>
              </w:rPr>
            </w:pPr>
            <w:r>
              <w:rPr>
                <w:sz w:val="16"/>
                <w:szCs w:val="16"/>
              </w:rPr>
              <w:t>7,2</w:t>
            </w:r>
          </w:p>
        </w:tc>
        <w:tc>
          <w:tcPr>
            <w:tcW w:w="1062" w:type="dxa"/>
            <w:shd w:val="clear" w:color="auto" w:fill="BFBFBF"/>
            <w:vAlign w:val="center"/>
          </w:tcPr>
          <w:p w:rsidR="003073A4" w:rsidRDefault="000545DD">
            <w:pPr>
              <w:widowControl/>
              <w:jc w:val="center"/>
              <w:rPr>
                <w:sz w:val="16"/>
                <w:szCs w:val="16"/>
              </w:rPr>
            </w:pPr>
            <w:r>
              <w:rPr>
                <w:sz w:val="16"/>
                <w:szCs w:val="16"/>
              </w:rPr>
              <w:t>8,3</w:t>
            </w:r>
          </w:p>
        </w:tc>
        <w:tc>
          <w:tcPr>
            <w:tcW w:w="909" w:type="dxa"/>
            <w:shd w:val="clear" w:color="auto" w:fill="BFBFBF"/>
            <w:vAlign w:val="center"/>
          </w:tcPr>
          <w:p w:rsidR="003073A4" w:rsidRDefault="000545DD">
            <w:pPr>
              <w:widowControl/>
              <w:jc w:val="center"/>
              <w:rPr>
                <w:sz w:val="16"/>
                <w:szCs w:val="16"/>
              </w:rPr>
            </w:pPr>
            <w:r>
              <w:rPr>
                <w:sz w:val="16"/>
                <w:szCs w:val="16"/>
              </w:rPr>
              <w:t>↑15,28%</w:t>
            </w:r>
          </w:p>
        </w:tc>
      </w:tr>
      <w:tr w:rsidR="003073A4">
        <w:trPr>
          <w:trHeight w:val="915"/>
        </w:trPr>
        <w:tc>
          <w:tcPr>
            <w:tcW w:w="1589" w:type="dxa"/>
            <w:shd w:val="clear" w:color="auto" w:fill="BFBFBF"/>
            <w:vAlign w:val="center"/>
          </w:tcPr>
          <w:p w:rsidR="003073A4" w:rsidRDefault="000545DD">
            <w:pPr>
              <w:widowControl/>
              <w:rPr>
                <w:b/>
                <w:bCs/>
                <w:sz w:val="16"/>
                <w:szCs w:val="16"/>
              </w:rPr>
            </w:pPr>
            <w:r>
              <w:rPr>
                <w:b/>
                <w:bCs/>
                <w:sz w:val="16"/>
                <w:szCs w:val="16"/>
              </w:rPr>
              <w:t>Ações de Integridade</w:t>
            </w:r>
          </w:p>
        </w:tc>
        <w:tc>
          <w:tcPr>
            <w:tcW w:w="1170" w:type="dxa"/>
            <w:shd w:val="clear" w:color="auto" w:fill="BFBFBF"/>
            <w:vAlign w:val="center"/>
          </w:tcPr>
          <w:p w:rsidR="003073A4" w:rsidRDefault="000545DD">
            <w:pPr>
              <w:widowControl/>
              <w:rPr>
                <w:b/>
                <w:bCs/>
                <w:sz w:val="16"/>
                <w:szCs w:val="16"/>
              </w:rPr>
            </w:pPr>
            <w:r>
              <w:rPr>
                <w:sz w:val="16"/>
                <w:szCs w:val="16"/>
              </w:rPr>
              <w:t>Aprimorar e padronizar os processos e os instrumentos de governança, controle e integridade</w:t>
            </w:r>
          </w:p>
        </w:tc>
        <w:tc>
          <w:tcPr>
            <w:tcW w:w="2519" w:type="dxa"/>
            <w:gridSpan w:val="2"/>
            <w:shd w:val="clear" w:color="auto" w:fill="BFBFBF"/>
            <w:vAlign w:val="center"/>
          </w:tcPr>
          <w:p w:rsidR="003073A4" w:rsidRDefault="000545DD">
            <w:pPr>
              <w:widowControl/>
              <w:rPr>
                <w:color w:val="FF0000"/>
                <w:sz w:val="16"/>
                <w:szCs w:val="16"/>
              </w:rPr>
            </w:pPr>
            <w:r>
              <w:rPr>
                <w:sz w:val="16"/>
                <w:szCs w:val="16"/>
              </w:rPr>
              <w:t>Ações realizadas / Ações previstas</w:t>
            </w:r>
          </w:p>
        </w:tc>
        <w:tc>
          <w:tcPr>
            <w:tcW w:w="524" w:type="dxa"/>
            <w:shd w:val="clear" w:color="auto" w:fill="BFBFBF"/>
            <w:vAlign w:val="center"/>
          </w:tcPr>
          <w:p w:rsidR="003073A4" w:rsidRDefault="000545DD">
            <w:pPr>
              <w:widowControl/>
              <w:jc w:val="center"/>
              <w:rPr>
                <w:color w:val="FF0000"/>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88</w:t>
            </w:r>
          </w:p>
        </w:tc>
        <w:tc>
          <w:tcPr>
            <w:tcW w:w="701" w:type="dxa"/>
            <w:shd w:val="clear" w:color="auto" w:fill="BFBFBF"/>
            <w:vAlign w:val="center"/>
          </w:tcPr>
          <w:p w:rsidR="003073A4" w:rsidRDefault="000545DD">
            <w:pPr>
              <w:widowControl/>
              <w:jc w:val="center"/>
              <w:rPr>
                <w:sz w:val="16"/>
                <w:szCs w:val="16"/>
              </w:rPr>
            </w:pPr>
            <w:r>
              <w:rPr>
                <w:sz w:val="16"/>
                <w:szCs w:val="16"/>
              </w:rPr>
              <w:t>90</w:t>
            </w:r>
          </w:p>
        </w:tc>
        <w:tc>
          <w:tcPr>
            <w:tcW w:w="1062" w:type="dxa"/>
            <w:shd w:val="clear" w:color="auto" w:fill="BFBFBF"/>
            <w:vAlign w:val="center"/>
          </w:tcPr>
          <w:p w:rsidR="003073A4" w:rsidRDefault="000545DD">
            <w:pPr>
              <w:widowControl/>
              <w:jc w:val="center"/>
              <w:rPr>
                <w:sz w:val="16"/>
                <w:szCs w:val="16"/>
              </w:rPr>
            </w:pPr>
            <w:r>
              <w:rPr>
                <w:sz w:val="16"/>
                <w:szCs w:val="16"/>
              </w:rPr>
              <w:t>86,4</w:t>
            </w:r>
          </w:p>
        </w:tc>
        <w:tc>
          <w:tcPr>
            <w:tcW w:w="909" w:type="dxa"/>
            <w:shd w:val="clear" w:color="auto" w:fill="BFBFBF"/>
            <w:vAlign w:val="center"/>
          </w:tcPr>
          <w:p w:rsidR="003073A4" w:rsidRDefault="000545DD">
            <w:pPr>
              <w:widowControl/>
              <w:jc w:val="center"/>
              <w:rPr>
                <w:sz w:val="16"/>
                <w:szCs w:val="16"/>
              </w:rPr>
            </w:pPr>
            <w:r>
              <w:rPr>
                <w:sz w:val="16"/>
                <w:szCs w:val="16"/>
              </w:rPr>
              <w:t>↓ 4%</w:t>
            </w:r>
          </w:p>
        </w:tc>
      </w:tr>
      <w:tr w:rsidR="003073A4">
        <w:trPr>
          <w:trHeight w:val="915"/>
        </w:trPr>
        <w:tc>
          <w:tcPr>
            <w:tcW w:w="1589" w:type="dxa"/>
            <w:shd w:val="clear" w:color="auto" w:fill="BFBFBF"/>
            <w:vAlign w:val="center"/>
          </w:tcPr>
          <w:p w:rsidR="003073A4" w:rsidRDefault="000545DD">
            <w:pPr>
              <w:widowControl/>
              <w:rPr>
                <w:b/>
                <w:bCs/>
                <w:color w:val="FF0000"/>
                <w:sz w:val="16"/>
                <w:szCs w:val="16"/>
              </w:rPr>
            </w:pPr>
            <w:r>
              <w:rPr>
                <w:b/>
                <w:bCs/>
                <w:sz w:val="16"/>
                <w:szCs w:val="16"/>
              </w:rPr>
              <w:t>Plano de Segurança</w:t>
            </w:r>
          </w:p>
        </w:tc>
        <w:tc>
          <w:tcPr>
            <w:tcW w:w="1170" w:type="dxa"/>
            <w:shd w:val="clear" w:color="auto" w:fill="BFBFBF"/>
            <w:vAlign w:val="center"/>
          </w:tcPr>
          <w:p w:rsidR="003073A4" w:rsidRDefault="000545DD">
            <w:pPr>
              <w:widowControl/>
              <w:rPr>
                <w:b/>
                <w:bCs/>
                <w:color w:val="FF0000"/>
                <w:sz w:val="16"/>
                <w:szCs w:val="16"/>
              </w:rPr>
            </w:pPr>
            <w:r>
              <w:rPr>
                <w:sz w:val="16"/>
                <w:szCs w:val="16"/>
              </w:rPr>
              <w:t>Ser eficiente na gestão da segurança portuária</w:t>
            </w:r>
          </w:p>
        </w:tc>
        <w:tc>
          <w:tcPr>
            <w:tcW w:w="2519" w:type="dxa"/>
            <w:gridSpan w:val="2"/>
            <w:shd w:val="clear" w:color="auto" w:fill="BFBFBF"/>
            <w:vAlign w:val="center"/>
          </w:tcPr>
          <w:p w:rsidR="003073A4" w:rsidRDefault="000545DD">
            <w:pPr>
              <w:widowControl/>
              <w:rPr>
                <w:sz w:val="16"/>
                <w:szCs w:val="16"/>
              </w:rPr>
            </w:pPr>
            <w:r>
              <w:rPr>
                <w:sz w:val="16"/>
                <w:szCs w:val="16"/>
              </w:rPr>
              <w:t xml:space="preserve">Ações realizadas / Ações previstas </w:t>
            </w:r>
          </w:p>
        </w:tc>
        <w:tc>
          <w:tcPr>
            <w:tcW w:w="524" w:type="dxa"/>
            <w:shd w:val="clear" w:color="auto" w:fill="BFBFBF"/>
            <w:vAlign w:val="center"/>
          </w:tcPr>
          <w:p w:rsidR="003073A4" w:rsidRDefault="000545DD">
            <w:pPr>
              <w:widowControl/>
              <w:jc w:val="center"/>
              <w:rPr>
                <w:color w:val="FF0000"/>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33,3</w:t>
            </w:r>
          </w:p>
        </w:tc>
        <w:tc>
          <w:tcPr>
            <w:tcW w:w="701" w:type="dxa"/>
            <w:shd w:val="clear" w:color="auto" w:fill="BFBFBF"/>
            <w:vAlign w:val="center"/>
          </w:tcPr>
          <w:p w:rsidR="003073A4" w:rsidRDefault="000545DD">
            <w:pPr>
              <w:widowControl/>
              <w:jc w:val="center"/>
              <w:rPr>
                <w:sz w:val="16"/>
                <w:szCs w:val="16"/>
              </w:rPr>
            </w:pPr>
            <w:r>
              <w:rPr>
                <w:sz w:val="16"/>
                <w:szCs w:val="16"/>
              </w:rPr>
              <w:t>80</w:t>
            </w:r>
          </w:p>
        </w:tc>
        <w:tc>
          <w:tcPr>
            <w:tcW w:w="1062" w:type="dxa"/>
            <w:shd w:val="clear" w:color="auto" w:fill="BFBFBF"/>
            <w:vAlign w:val="center"/>
          </w:tcPr>
          <w:p w:rsidR="003073A4" w:rsidRDefault="000545DD">
            <w:pPr>
              <w:widowControl/>
              <w:jc w:val="center"/>
              <w:rPr>
                <w:sz w:val="16"/>
                <w:szCs w:val="16"/>
              </w:rPr>
            </w:pPr>
            <w:r>
              <w:rPr>
                <w:sz w:val="16"/>
                <w:szCs w:val="16"/>
              </w:rPr>
              <w:t>61,1</w:t>
            </w:r>
          </w:p>
        </w:tc>
        <w:tc>
          <w:tcPr>
            <w:tcW w:w="909" w:type="dxa"/>
            <w:shd w:val="clear" w:color="auto" w:fill="BFBFBF"/>
            <w:vAlign w:val="center"/>
          </w:tcPr>
          <w:p w:rsidR="003073A4" w:rsidRDefault="000545DD">
            <w:pPr>
              <w:jc w:val="center"/>
              <w:rPr>
                <w:rFonts w:ascii="Arimo" w:eastAsia="Arimo" w:hAnsi="Arimo" w:cs="Arimo"/>
                <w:sz w:val="10"/>
                <w:szCs w:val="10"/>
              </w:rPr>
            </w:pPr>
            <w:r>
              <w:rPr>
                <w:sz w:val="16"/>
                <w:szCs w:val="16"/>
              </w:rPr>
              <w:t>↓ 23,6%</w:t>
            </w:r>
          </w:p>
        </w:tc>
      </w:tr>
      <w:tr w:rsidR="003073A4">
        <w:trPr>
          <w:trHeight w:val="915"/>
        </w:trPr>
        <w:tc>
          <w:tcPr>
            <w:tcW w:w="1589" w:type="dxa"/>
            <w:shd w:val="clear" w:color="auto" w:fill="BFBFBF"/>
            <w:vAlign w:val="center"/>
          </w:tcPr>
          <w:p w:rsidR="003073A4" w:rsidRDefault="000545DD">
            <w:pPr>
              <w:widowControl/>
              <w:rPr>
                <w:b/>
                <w:bCs/>
                <w:color w:val="FF0000"/>
                <w:sz w:val="16"/>
                <w:szCs w:val="16"/>
              </w:rPr>
            </w:pPr>
            <w:r>
              <w:rPr>
                <w:b/>
                <w:bCs/>
                <w:sz w:val="16"/>
                <w:szCs w:val="16"/>
              </w:rPr>
              <w:t>Execução Orçamentária</w:t>
            </w:r>
          </w:p>
        </w:tc>
        <w:tc>
          <w:tcPr>
            <w:tcW w:w="1170" w:type="dxa"/>
            <w:shd w:val="clear" w:color="auto" w:fill="BFBFBF"/>
            <w:vAlign w:val="center"/>
          </w:tcPr>
          <w:p w:rsidR="003073A4" w:rsidRDefault="000545DD">
            <w:pPr>
              <w:widowControl/>
              <w:rPr>
                <w:sz w:val="16"/>
                <w:szCs w:val="16"/>
              </w:rPr>
            </w:pPr>
            <w:r>
              <w:rPr>
                <w:sz w:val="16"/>
                <w:szCs w:val="16"/>
              </w:rPr>
              <w:t>Potencializar a produtividade operacional e modernizar a infraestrutura portuária</w:t>
            </w:r>
          </w:p>
        </w:tc>
        <w:tc>
          <w:tcPr>
            <w:tcW w:w="2519" w:type="dxa"/>
            <w:gridSpan w:val="2"/>
            <w:shd w:val="clear" w:color="auto" w:fill="BFBFBF"/>
            <w:vAlign w:val="center"/>
          </w:tcPr>
          <w:p w:rsidR="003073A4" w:rsidRDefault="000545DD">
            <w:pPr>
              <w:widowControl/>
              <w:rPr>
                <w:color w:val="FF0000"/>
                <w:sz w:val="16"/>
                <w:szCs w:val="16"/>
              </w:rPr>
            </w:pPr>
            <w:r>
              <w:rPr>
                <w:sz w:val="16"/>
                <w:szCs w:val="16"/>
              </w:rPr>
              <w:t>Execução do orçamento de investimento no período / Orçamento investimento aprovado no ano x 100</w:t>
            </w:r>
          </w:p>
        </w:tc>
        <w:tc>
          <w:tcPr>
            <w:tcW w:w="524"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21,6</w:t>
            </w:r>
          </w:p>
        </w:tc>
        <w:tc>
          <w:tcPr>
            <w:tcW w:w="701" w:type="dxa"/>
            <w:shd w:val="clear" w:color="auto" w:fill="BFBFBF"/>
            <w:vAlign w:val="center"/>
          </w:tcPr>
          <w:p w:rsidR="003073A4" w:rsidRDefault="000545DD">
            <w:pPr>
              <w:widowControl/>
              <w:jc w:val="center"/>
              <w:rPr>
                <w:sz w:val="16"/>
                <w:szCs w:val="16"/>
              </w:rPr>
            </w:pPr>
            <w:r>
              <w:rPr>
                <w:sz w:val="16"/>
                <w:szCs w:val="16"/>
              </w:rPr>
              <w:t>30</w:t>
            </w:r>
          </w:p>
        </w:tc>
        <w:tc>
          <w:tcPr>
            <w:tcW w:w="1062" w:type="dxa"/>
            <w:shd w:val="clear" w:color="auto" w:fill="BFBFBF"/>
            <w:vAlign w:val="center"/>
          </w:tcPr>
          <w:p w:rsidR="003073A4" w:rsidRDefault="000545DD">
            <w:pPr>
              <w:widowControl/>
              <w:jc w:val="center"/>
              <w:rPr>
                <w:sz w:val="16"/>
                <w:szCs w:val="16"/>
              </w:rPr>
            </w:pPr>
            <w:r>
              <w:rPr>
                <w:sz w:val="16"/>
                <w:szCs w:val="16"/>
              </w:rPr>
              <w:t>37,88</w:t>
            </w:r>
          </w:p>
        </w:tc>
        <w:tc>
          <w:tcPr>
            <w:tcW w:w="909" w:type="dxa"/>
            <w:shd w:val="clear" w:color="auto" w:fill="BFBFBF"/>
            <w:vAlign w:val="center"/>
          </w:tcPr>
          <w:p w:rsidR="003073A4" w:rsidRDefault="000545DD">
            <w:pPr>
              <w:rPr>
                <w:rFonts w:ascii="Arimo" w:eastAsia="Arimo" w:hAnsi="Arimo" w:cs="Arimo"/>
                <w:sz w:val="10"/>
                <w:szCs w:val="10"/>
              </w:rPr>
            </w:pPr>
            <w:r>
              <w:rPr>
                <w:sz w:val="16"/>
                <w:szCs w:val="16"/>
              </w:rPr>
              <w:t>↑ 26,27%</w:t>
            </w:r>
          </w:p>
        </w:tc>
      </w:tr>
      <w:tr w:rsidR="003073A4">
        <w:trPr>
          <w:trHeight w:val="915"/>
        </w:trPr>
        <w:tc>
          <w:tcPr>
            <w:tcW w:w="1589" w:type="dxa"/>
            <w:shd w:val="clear" w:color="auto" w:fill="BFBFBF"/>
            <w:vAlign w:val="center"/>
          </w:tcPr>
          <w:p w:rsidR="003073A4" w:rsidRDefault="000545DD">
            <w:pPr>
              <w:widowControl/>
              <w:rPr>
                <w:b/>
                <w:bCs/>
                <w:sz w:val="16"/>
                <w:szCs w:val="16"/>
              </w:rPr>
            </w:pPr>
            <w:r>
              <w:rPr>
                <w:b/>
                <w:bCs/>
                <w:sz w:val="16"/>
                <w:szCs w:val="16"/>
              </w:rPr>
              <w:t>Plano de ações de TI</w:t>
            </w:r>
          </w:p>
        </w:tc>
        <w:tc>
          <w:tcPr>
            <w:tcW w:w="1170" w:type="dxa"/>
            <w:shd w:val="clear" w:color="auto" w:fill="BFBFBF"/>
            <w:vAlign w:val="center"/>
          </w:tcPr>
          <w:p w:rsidR="003073A4" w:rsidRDefault="000545DD">
            <w:pPr>
              <w:widowControl/>
              <w:rPr>
                <w:b/>
                <w:bCs/>
                <w:sz w:val="16"/>
                <w:szCs w:val="16"/>
              </w:rPr>
            </w:pPr>
            <w:r>
              <w:rPr>
                <w:sz w:val="16"/>
                <w:szCs w:val="16"/>
              </w:rPr>
              <w:t>Promover a gestão dos processos e ativos de TIC</w:t>
            </w:r>
          </w:p>
        </w:tc>
        <w:tc>
          <w:tcPr>
            <w:tcW w:w="2519" w:type="dxa"/>
            <w:gridSpan w:val="2"/>
            <w:shd w:val="clear" w:color="auto" w:fill="BFBFBF"/>
            <w:vAlign w:val="center"/>
          </w:tcPr>
          <w:p w:rsidR="003073A4" w:rsidRDefault="000545DD">
            <w:pPr>
              <w:widowControl/>
              <w:rPr>
                <w:sz w:val="16"/>
                <w:szCs w:val="16"/>
              </w:rPr>
            </w:pPr>
            <w:r>
              <w:rPr>
                <w:sz w:val="16"/>
                <w:szCs w:val="16"/>
              </w:rPr>
              <w:t>Ações realizadas / Ações previstas</w:t>
            </w:r>
          </w:p>
          <w:p w:rsidR="003073A4" w:rsidRDefault="003073A4">
            <w:pPr>
              <w:widowControl/>
              <w:rPr>
                <w:color w:val="FF0000"/>
                <w:sz w:val="16"/>
                <w:szCs w:val="16"/>
              </w:rPr>
            </w:pPr>
          </w:p>
        </w:tc>
        <w:tc>
          <w:tcPr>
            <w:tcW w:w="524"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40</w:t>
            </w:r>
          </w:p>
        </w:tc>
        <w:tc>
          <w:tcPr>
            <w:tcW w:w="701" w:type="dxa"/>
            <w:shd w:val="clear" w:color="auto" w:fill="BFBFBF"/>
            <w:vAlign w:val="center"/>
          </w:tcPr>
          <w:p w:rsidR="003073A4" w:rsidRDefault="000545DD">
            <w:pPr>
              <w:widowControl/>
              <w:jc w:val="center"/>
              <w:rPr>
                <w:sz w:val="16"/>
                <w:szCs w:val="16"/>
              </w:rPr>
            </w:pPr>
            <w:r>
              <w:rPr>
                <w:sz w:val="16"/>
                <w:szCs w:val="16"/>
              </w:rPr>
              <w:t>80</w:t>
            </w:r>
          </w:p>
        </w:tc>
        <w:tc>
          <w:tcPr>
            <w:tcW w:w="1062" w:type="dxa"/>
            <w:shd w:val="clear" w:color="auto" w:fill="BFBFBF"/>
            <w:vAlign w:val="center"/>
          </w:tcPr>
          <w:p w:rsidR="003073A4" w:rsidRDefault="000545DD">
            <w:pPr>
              <w:widowControl/>
              <w:jc w:val="center"/>
              <w:rPr>
                <w:sz w:val="16"/>
                <w:szCs w:val="16"/>
              </w:rPr>
            </w:pPr>
            <w:r>
              <w:rPr>
                <w:sz w:val="16"/>
                <w:szCs w:val="16"/>
              </w:rPr>
              <w:t>68,7</w:t>
            </w:r>
          </w:p>
        </w:tc>
        <w:tc>
          <w:tcPr>
            <w:tcW w:w="909" w:type="dxa"/>
            <w:shd w:val="clear" w:color="auto" w:fill="BFBFBF"/>
            <w:vAlign w:val="center"/>
          </w:tcPr>
          <w:p w:rsidR="003073A4" w:rsidRDefault="000545DD">
            <w:pPr>
              <w:rPr>
                <w:sz w:val="16"/>
                <w:szCs w:val="16"/>
              </w:rPr>
            </w:pPr>
            <w:r>
              <w:rPr>
                <w:sz w:val="16"/>
                <w:szCs w:val="16"/>
              </w:rPr>
              <w:t>↓ 14,1%</w:t>
            </w:r>
          </w:p>
        </w:tc>
      </w:tr>
      <w:tr w:rsidR="003073A4">
        <w:trPr>
          <w:trHeight w:val="620"/>
        </w:trPr>
        <w:tc>
          <w:tcPr>
            <w:tcW w:w="1589" w:type="dxa"/>
            <w:vMerge w:val="restart"/>
            <w:shd w:val="clear" w:color="auto" w:fill="BFBFBF"/>
            <w:vAlign w:val="center"/>
          </w:tcPr>
          <w:p w:rsidR="003073A4" w:rsidRDefault="000545DD">
            <w:pPr>
              <w:widowControl/>
              <w:rPr>
                <w:b/>
                <w:bCs/>
                <w:color w:val="FF0000"/>
                <w:sz w:val="16"/>
                <w:szCs w:val="16"/>
              </w:rPr>
            </w:pPr>
            <w:r>
              <w:rPr>
                <w:b/>
                <w:bCs/>
                <w:sz w:val="16"/>
                <w:szCs w:val="16"/>
              </w:rPr>
              <w:lastRenderedPageBreak/>
              <w:t xml:space="preserve">Prancha média (Líquida) </w:t>
            </w:r>
          </w:p>
        </w:tc>
        <w:tc>
          <w:tcPr>
            <w:tcW w:w="1170" w:type="dxa"/>
            <w:vMerge w:val="restart"/>
            <w:shd w:val="clear" w:color="auto" w:fill="BFBFBF"/>
            <w:vAlign w:val="center"/>
          </w:tcPr>
          <w:p w:rsidR="003073A4" w:rsidRDefault="000545DD">
            <w:pPr>
              <w:widowControl/>
              <w:rPr>
                <w:b/>
                <w:bCs/>
                <w:sz w:val="16"/>
                <w:szCs w:val="16"/>
              </w:rPr>
            </w:pPr>
            <w:r>
              <w:rPr>
                <w:sz w:val="16"/>
                <w:szCs w:val="16"/>
              </w:rPr>
              <w:t>Potencializar a produtividade operacional e modernizar a infraestrutura portuária</w:t>
            </w:r>
          </w:p>
        </w:tc>
        <w:tc>
          <w:tcPr>
            <w:tcW w:w="1399" w:type="dxa"/>
            <w:vMerge w:val="restart"/>
            <w:shd w:val="clear" w:color="auto" w:fill="BFBFBF"/>
            <w:vAlign w:val="center"/>
          </w:tcPr>
          <w:p w:rsidR="003073A4" w:rsidRDefault="000545DD">
            <w:pPr>
              <w:widowControl/>
              <w:rPr>
                <w:color w:val="FF0000"/>
                <w:sz w:val="16"/>
                <w:szCs w:val="16"/>
              </w:rPr>
            </w:pPr>
            <w:r>
              <w:rPr>
                <w:sz w:val="16"/>
                <w:szCs w:val="16"/>
              </w:rPr>
              <w:t>Qtde de carga movimentada pelos navios / nº horas atracados</w:t>
            </w:r>
          </w:p>
        </w:tc>
        <w:tc>
          <w:tcPr>
            <w:tcW w:w="1120" w:type="dxa"/>
            <w:shd w:val="clear" w:color="auto" w:fill="BFBFBF"/>
            <w:vAlign w:val="center"/>
          </w:tcPr>
          <w:p w:rsidR="003073A4" w:rsidRDefault="000545DD">
            <w:pPr>
              <w:widowControl/>
              <w:rPr>
                <w:sz w:val="16"/>
                <w:szCs w:val="16"/>
              </w:rPr>
            </w:pPr>
            <w:r>
              <w:rPr>
                <w:sz w:val="16"/>
                <w:szCs w:val="16"/>
              </w:rPr>
              <w:t>Granel sólido cereal</w:t>
            </w:r>
          </w:p>
        </w:tc>
        <w:tc>
          <w:tcPr>
            <w:tcW w:w="524" w:type="dxa"/>
            <w:shd w:val="clear" w:color="auto" w:fill="BFBFBF"/>
            <w:vAlign w:val="center"/>
          </w:tcPr>
          <w:p w:rsidR="003073A4" w:rsidRDefault="000545DD">
            <w:pPr>
              <w:widowControl/>
              <w:jc w:val="center"/>
              <w:rPr>
                <w:sz w:val="16"/>
                <w:szCs w:val="16"/>
              </w:rPr>
            </w:pPr>
            <w:r>
              <w:rPr>
                <w:sz w:val="16"/>
                <w:szCs w:val="16"/>
              </w:rPr>
              <w:t>ton/h</w:t>
            </w:r>
          </w:p>
        </w:tc>
        <w:tc>
          <w:tcPr>
            <w:tcW w:w="746" w:type="dxa"/>
            <w:shd w:val="clear" w:color="auto" w:fill="BFBFBF"/>
            <w:vAlign w:val="center"/>
          </w:tcPr>
          <w:p w:rsidR="003073A4" w:rsidRDefault="000545DD">
            <w:pPr>
              <w:widowControl/>
              <w:jc w:val="center"/>
              <w:rPr>
                <w:sz w:val="16"/>
                <w:szCs w:val="16"/>
              </w:rPr>
            </w:pPr>
            <w:r>
              <w:rPr>
                <w:sz w:val="16"/>
                <w:szCs w:val="16"/>
              </w:rPr>
              <w:t>426</w:t>
            </w:r>
          </w:p>
        </w:tc>
        <w:tc>
          <w:tcPr>
            <w:tcW w:w="701" w:type="dxa"/>
            <w:shd w:val="clear" w:color="auto" w:fill="BFBFBF"/>
            <w:vAlign w:val="center"/>
          </w:tcPr>
          <w:p w:rsidR="003073A4" w:rsidRDefault="000545DD">
            <w:pPr>
              <w:widowControl/>
              <w:jc w:val="center"/>
              <w:rPr>
                <w:sz w:val="16"/>
                <w:szCs w:val="16"/>
              </w:rPr>
            </w:pPr>
            <w:r>
              <w:rPr>
                <w:sz w:val="16"/>
                <w:szCs w:val="16"/>
              </w:rPr>
              <w:t>340</w:t>
            </w:r>
          </w:p>
        </w:tc>
        <w:tc>
          <w:tcPr>
            <w:tcW w:w="1062" w:type="dxa"/>
            <w:shd w:val="clear" w:color="auto" w:fill="BFBFBF"/>
            <w:vAlign w:val="center"/>
          </w:tcPr>
          <w:p w:rsidR="003073A4" w:rsidRDefault="000545DD">
            <w:pPr>
              <w:widowControl/>
              <w:jc w:val="center"/>
              <w:rPr>
                <w:sz w:val="16"/>
                <w:szCs w:val="16"/>
              </w:rPr>
            </w:pPr>
            <w:r>
              <w:rPr>
                <w:sz w:val="16"/>
                <w:szCs w:val="16"/>
              </w:rPr>
              <w:t>446,9</w:t>
            </w:r>
          </w:p>
        </w:tc>
        <w:tc>
          <w:tcPr>
            <w:tcW w:w="909" w:type="dxa"/>
            <w:shd w:val="clear" w:color="auto" w:fill="BFBFBF"/>
            <w:vAlign w:val="center"/>
          </w:tcPr>
          <w:p w:rsidR="003073A4" w:rsidRDefault="000545DD">
            <w:pPr>
              <w:widowControl/>
              <w:rPr>
                <w:sz w:val="16"/>
                <w:szCs w:val="16"/>
              </w:rPr>
            </w:pPr>
            <w:r>
              <w:rPr>
                <w:sz w:val="16"/>
                <w:szCs w:val="16"/>
              </w:rPr>
              <w:t>↑ 31,44%</w:t>
            </w:r>
          </w:p>
        </w:tc>
      </w:tr>
      <w:tr w:rsidR="003073A4">
        <w:trPr>
          <w:trHeight w:val="315"/>
        </w:trPr>
        <w:tc>
          <w:tcPr>
            <w:tcW w:w="158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70"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9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20" w:type="dxa"/>
            <w:shd w:val="clear" w:color="auto" w:fill="BFBFBF"/>
            <w:vAlign w:val="center"/>
          </w:tcPr>
          <w:p w:rsidR="003073A4" w:rsidRDefault="000545DD">
            <w:pPr>
              <w:widowControl/>
              <w:rPr>
                <w:sz w:val="16"/>
                <w:szCs w:val="16"/>
              </w:rPr>
            </w:pPr>
            <w:r>
              <w:rPr>
                <w:sz w:val="16"/>
                <w:szCs w:val="16"/>
              </w:rPr>
              <w:t>Contêiner</w:t>
            </w:r>
          </w:p>
        </w:tc>
        <w:tc>
          <w:tcPr>
            <w:tcW w:w="524" w:type="dxa"/>
            <w:shd w:val="clear" w:color="auto" w:fill="BFBFBF"/>
            <w:vAlign w:val="center"/>
          </w:tcPr>
          <w:p w:rsidR="003073A4" w:rsidRDefault="000545DD">
            <w:pPr>
              <w:widowControl/>
              <w:jc w:val="center"/>
              <w:rPr>
                <w:sz w:val="16"/>
                <w:szCs w:val="16"/>
              </w:rPr>
            </w:pPr>
            <w:r>
              <w:rPr>
                <w:sz w:val="16"/>
                <w:szCs w:val="16"/>
              </w:rPr>
              <w:t>ton/h</w:t>
            </w:r>
          </w:p>
        </w:tc>
        <w:tc>
          <w:tcPr>
            <w:tcW w:w="746" w:type="dxa"/>
            <w:shd w:val="clear" w:color="auto" w:fill="BFBFBF"/>
            <w:vAlign w:val="center"/>
          </w:tcPr>
          <w:p w:rsidR="003073A4" w:rsidRDefault="000545DD">
            <w:pPr>
              <w:widowControl/>
              <w:jc w:val="center"/>
              <w:rPr>
                <w:sz w:val="16"/>
                <w:szCs w:val="16"/>
              </w:rPr>
            </w:pPr>
            <w:r>
              <w:rPr>
                <w:sz w:val="16"/>
                <w:szCs w:val="16"/>
              </w:rPr>
              <w:t>21</w:t>
            </w:r>
          </w:p>
        </w:tc>
        <w:tc>
          <w:tcPr>
            <w:tcW w:w="701" w:type="dxa"/>
            <w:shd w:val="clear" w:color="auto" w:fill="BFBFBF"/>
            <w:vAlign w:val="center"/>
          </w:tcPr>
          <w:p w:rsidR="003073A4" w:rsidRDefault="000545DD">
            <w:pPr>
              <w:widowControl/>
              <w:jc w:val="center"/>
              <w:rPr>
                <w:sz w:val="16"/>
                <w:szCs w:val="16"/>
              </w:rPr>
            </w:pPr>
            <w:r>
              <w:rPr>
                <w:sz w:val="16"/>
                <w:szCs w:val="16"/>
              </w:rPr>
              <w:t>18</w:t>
            </w:r>
          </w:p>
        </w:tc>
        <w:tc>
          <w:tcPr>
            <w:tcW w:w="1062" w:type="dxa"/>
            <w:shd w:val="clear" w:color="auto" w:fill="BFBFBF"/>
            <w:vAlign w:val="center"/>
          </w:tcPr>
          <w:p w:rsidR="003073A4" w:rsidRDefault="000545DD">
            <w:pPr>
              <w:widowControl/>
              <w:jc w:val="center"/>
              <w:rPr>
                <w:sz w:val="16"/>
                <w:szCs w:val="16"/>
              </w:rPr>
            </w:pPr>
            <w:r>
              <w:rPr>
                <w:sz w:val="16"/>
                <w:szCs w:val="16"/>
              </w:rPr>
              <w:t>24,6</w:t>
            </w:r>
          </w:p>
        </w:tc>
        <w:tc>
          <w:tcPr>
            <w:tcW w:w="909" w:type="dxa"/>
            <w:shd w:val="clear" w:color="auto" w:fill="BFBFBF"/>
            <w:vAlign w:val="center"/>
          </w:tcPr>
          <w:p w:rsidR="003073A4" w:rsidRDefault="000545DD">
            <w:pPr>
              <w:widowControl/>
              <w:rPr>
                <w:sz w:val="16"/>
                <w:szCs w:val="16"/>
              </w:rPr>
            </w:pPr>
            <w:r>
              <w:rPr>
                <w:sz w:val="16"/>
                <w:szCs w:val="16"/>
              </w:rPr>
              <w:t>↑ 36,67%</w:t>
            </w:r>
          </w:p>
        </w:tc>
      </w:tr>
      <w:tr w:rsidR="003073A4">
        <w:trPr>
          <w:trHeight w:val="375"/>
        </w:trPr>
        <w:tc>
          <w:tcPr>
            <w:tcW w:w="158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70"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9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20" w:type="dxa"/>
            <w:shd w:val="clear" w:color="auto" w:fill="BFBFBF"/>
            <w:vAlign w:val="center"/>
          </w:tcPr>
          <w:p w:rsidR="003073A4" w:rsidRDefault="000545DD">
            <w:pPr>
              <w:widowControl/>
              <w:rPr>
                <w:sz w:val="16"/>
                <w:szCs w:val="16"/>
              </w:rPr>
            </w:pPr>
            <w:r>
              <w:rPr>
                <w:sz w:val="16"/>
                <w:szCs w:val="16"/>
              </w:rPr>
              <w:t>Granel sólido mineral</w:t>
            </w:r>
          </w:p>
        </w:tc>
        <w:tc>
          <w:tcPr>
            <w:tcW w:w="524" w:type="dxa"/>
            <w:shd w:val="clear" w:color="auto" w:fill="BFBFBF"/>
            <w:vAlign w:val="center"/>
          </w:tcPr>
          <w:p w:rsidR="003073A4" w:rsidRDefault="000545DD">
            <w:pPr>
              <w:widowControl/>
              <w:jc w:val="center"/>
              <w:rPr>
                <w:sz w:val="16"/>
                <w:szCs w:val="16"/>
              </w:rPr>
            </w:pPr>
            <w:r>
              <w:rPr>
                <w:sz w:val="16"/>
                <w:szCs w:val="16"/>
              </w:rPr>
              <w:t>ton/h</w:t>
            </w:r>
          </w:p>
        </w:tc>
        <w:tc>
          <w:tcPr>
            <w:tcW w:w="746" w:type="dxa"/>
            <w:shd w:val="clear" w:color="auto" w:fill="BFBFBF"/>
            <w:vAlign w:val="center"/>
          </w:tcPr>
          <w:p w:rsidR="003073A4" w:rsidRDefault="000545DD">
            <w:pPr>
              <w:widowControl/>
              <w:jc w:val="center"/>
              <w:rPr>
                <w:sz w:val="16"/>
                <w:szCs w:val="16"/>
              </w:rPr>
            </w:pPr>
            <w:r>
              <w:rPr>
                <w:sz w:val="16"/>
                <w:szCs w:val="16"/>
              </w:rPr>
              <w:t>245</w:t>
            </w:r>
          </w:p>
        </w:tc>
        <w:tc>
          <w:tcPr>
            <w:tcW w:w="701" w:type="dxa"/>
            <w:shd w:val="clear" w:color="auto" w:fill="BFBFBF"/>
            <w:vAlign w:val="center"/>
          </w:tcPr>
          <w:p w:rsidR="003073A4" w:rsidRDefault="000545DD">
            <w:pPr>
              <w:widowControl/>
              <w:jc w:val="center"/>
              <w:rPr>
                <w:sz w:val="16"/>
                <w:szCs w:val="16"/>
              </w:rPr>
            </w:pPr>
            <w:r>
              <w:rPr>
                <w:sz w:val="16"/>
                <w:szCs w:val="16"/>
              </w:rPr>
              <w:t>235</w:t>
            </w:r>
          </w:p>
        </w:tc>
        <w:tc>
          <w:tcPr>
            <w:tcW w:w="1062" w:type="dxa"/>
            <w:shd w:val="clear" w:color="auto" w:fill="BFBFBF"/>
            <w:vAlign w:val="center"/>
          </w:tcPr>
          <w:p w:rsidR="003073A4" w:rsidRDefault="000545DD">
            <w:pPr>
              <w:widowControl/>
              <w:jc w:val="center"/>
              <w:rPr>
                <w:sz w:val="16"/>
                <w:szCs w:val="16"/>
              </w:rPr>
            </w:pPr>
            <w:r>
              <w:rPr>
                <w:sz w:val="16"/>
                <w:szCs w:val="16"/>
              </w:rPr>
              <w:t>264,9</w:t>
            </w:r>
          </w:p>
        </w:tc>
        <w:tc>
          <w:tcPr>
            <w:tcW w:w="909" w:type="dxa"/>
            <w:shd w:val="clear" w:color="auto" w:fill="BFBFBF"/>
            <w:vAlign w:val="center"/>
          </w:tcPr>
          <w:p w:rsidR="003073A4" w:rsidRDefault="000545DD">
            <w:pPr>
              <w:widowControl/>
              <w:rPr>
                <w:sz w:val="16"/>
                <w:szCs w:val="16"/>
              </w:rPr>
            </w:pPr>
            <w:r>
              <w:rPr>
                <w:sz w:val="16"/>
                <w:szCs w:val="16"/>
              </w:rPr>
              <w:t>↑ 12,72%</w:t>
            </w:r>
          </w:p>
        </w:tc>
      </w:tr>
      <w:tr w:rsidR="003073A4">
        <w:trPr>
          <w:trHeight w:val="315"/>
        </w:trPr>
        <w:tc>
          <w:tcPr>
            <w:tcW w:w="158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70"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99" w:type="dxa"/>
            <w:vMerge/>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20" w:type="dxa"/>
            <w:shd w:val="clear" w:color="auto" w:fill="BFBFBF"/>
            <w:vAlign w:val="center"/>
          </w:tcPr>
          <w:p w:rsidR="003073A4" w:rsidRDefault="000545DD">
            <w:pPr>
              <w:widowControl/>
              <w:rPr>
                <w:sz w:val="16"/>
                <w:szCs w:val="16"/>
              </w:rPr>
            </w:pPr>
            <w:r>
              <w:rPr>
                <w:sz w:val="16"/>
                <w:szCs w:val="16"/>
              </w:rPr>
              <w:t>Granel líquido</w:t>
            </w:r>
          </w:p>
        </w:tc>
        <w:tc>
          <w:tcPr>
            <w:tcW w:w="524" w:type="dxa"/>
            <w:shd w:val="clear" w:color="auto" w:fill="BFBFBF"/>
            <w:vAlign w:val="center"/>
          </w:tcPr>
          <w:p w:rsidR="003073A4" w:rsidRDefault="000545DD">
            <w:pPr>
              <w:widowControl/>
              <w:jc w:val="center"/>
              <w:rPr>
                <w:sz w:val="16"/>
                <w:szCs w:val="16"/>
              </w:rPr>
            </w:pPr>
            <w:r>
              <w:rPr>
                <w:sz w:val="16"/>
                <w:szCs w:val="16"/>
              </w:rPr>
              <w:t>ton/h</w:t>
            </w:r>
          </w:p>
        </w:tc>
        <w:tc>
          <w:tcPr>
            <w:tcW w:w="746" w:type="dxa"/>
            <w:shd w:val="clear" w:color="auto" w:fill="BFBFBF"/>
            <w:vAlign w:val="center"/>
          </w:tcPr>
          <w:p w:rsidR="003073A4" w:rsidRDefault="000545DD">
            <w:pPr>
              <w:widowControl/>
              <w:jc w:val="center"/>
              <w:rPr>
                <w:sz w:val="16"/>
                <w:szCs w:val="16"/>
              </w:rPr>
            </w:pPr>
            <w:r>
              <w:rPr>
                <w:sz w:val="16"/>
                <w:szCs w:val="16"/>
              </w:rPr>
              <w:t>62</w:t>
            </w:r>
          </w:p>
        </w:tc>
        <w:tc>
          <w:tcPr>
            <w:tcW w:w="701" w:type="dxa"/>
            <w:shd w:val="clear" w:color="auto" w:fill="BFBFBF"/>
            <w:vAlign w:val="center"/>
          </w:tcPr>
          <w:p w:rsidR="003073A4" w:rsidRDefault="000545DD">
            <w:pPr>
              <w:widowControl/>
              <w:jc w:val="center"/>
              <w:rPr>
                <w:sz w:val="16"/>
                <w:szCs w:val="16"/>
              </w:rPr>
            </w:pPr>
            <w:r>
              <w:rPr>
                <w:sz w:val="16"/>
                <w:szCs w:val="16"/>
              </w:rPr>
              <w:t>35</w:t>
            </w:r>
          </w:p>
        </w:tc>
        <w:tc>
          <w:tcPr>
            <w:tcW w:w="1062" w:type="dxa"/>
            <w:shd w:val="clear" w:color="auto" w:fill="BFBFBF"/>
            <w:vAlign w:val="center"/>
          </w:tcPr>
          <w:p w:rsidR="003073A4" w:rsidRDefault="000545DD">
            <w:pPr>
              <w:widowControl/>
              <w:jc w:val="center"/>
              <w:rPr>
                <w:sz w:val="16"/>
                <w:szCs w:val="16"/>
              </w:rPr>
            </w:pPr>
            <w:r>
              <w:rPr>
                <w:sz w:val="16"/>
                <w:szCs w:val="16"/>
              </w:rPr>
              <w:t>72,1</w:t>
            </w:r>
          </w:p>
        </w:tc>
        <w:tc>
          <w:tcPr>
            <w:tcW w:w="909" w:type="dxa"/>
            <w:shd w:val="clear" w:color="auto" w:fill="BFBFBF"/>
            <w:vAlign w:val="center"/>
          </w:tcPr>
          <w:p w:rsidR="003073A4" w:rsidRDefault="000545DD">
            <w:pPr>
              <w:widowControl/>
              <w:rPr>
                <w:sz w:val="16"/>
                <w:szCs w:val="16"/>
              </w:rPr>
            </w:pPr>
            <w:r>
              <w:rPr>
                <w:sz w:val="16"/>
                <w:szCs w:val="16"/>
              </w:rPr>
              <w:t>↑ 106%</w:t>
            </w:r>
          </w:p>
        </w:tc>
      </w:tr>
    </w:tbl>
    <w:p w:rsidR="003073A4" w:rsidRDefault="000545DD">
      <w:pPr>
        <w:rPr>
          <w:i/>
          <w:iCs/>
          <w:sz w:val="18"/>
          <w:szCs w:val="18"/>
        </w:rPr>
      </w:pPr>
      <w:r>
        <w:rPr>
          <w:i/>
          <w:iCs/>
          <w:sz w:val="18"/>
          <w:szCs w:val="18"/>
        </w:rPr>
        <w:t>* Não ocorreram avaliações do indicador em 2023 nem 2024.</w:t>
      </w:r>
    </w:p>
    <w:p w:rsidR="003073A4" w:rsidRDefault="000545DD">
      <w:pPr>
        <w:rPr>
          <w:i/>
          <w:iCs/>
          <w:sz w:val="18"/>
          <w:szCs w:val="18"/>
        </w:rPr>
      </w:pPr>
      <w:r>
        <w:rPr>
          <w:i/>
          <w:iCs/>
          <w:sz w:val="18"/>
          <w:szCs w:val="18"/>
        </w:rPr>
        <w:t>** Ainda não foi divulgado pelo órgão competente o resultado do ciclo avaliado em 2025.</w:t>
      </w:r>
    </w:p>
    <w:p w:rsidR="003073A4" w:rsidRDefault="003073A4">
      <w:pPr>
        <w:rPr>
          <w:i/>
          <w:iCs/>
          <w:sz w:val="18"/>
          <w:szCs w:val="18"/>
        </w:rPr>
      </w:pPr>
    </w:p>
    <w:p w:rsidR="003073A4" w:rsidRDefault="000545DD">
      <w:pPr>
        <w:spacing w:line="219" w:lineRule="auto"/>
        <w:ind w:left="262" w:hanging="262"/>
        <w:rPr>
          <w:sz w:val="18"/>
          <w:szCs w:val="18"/>
        </w:rPr>
      </w:pPr>
      <w:r>
        <w:rPr>
          <w:sz w:val="18"/>
          <w:szCs w:val="18"/>
        </w:rPr>
        <w:t xml:space="preserve">Fonte: </w:t>
      </w:r>
      <w:r>
        <w:rPr>
          <w:color w:val="000000"/>
          <w:sz w:val="18"/>
          <w:szCs w:val="18"/>
        </w:rPr>
        <w:t>CODPLA - Coordenadoria de Planejamento Estratégico (2026)</w:t>
      </w:r>
    </w:p>
    <w:p w:rsidR="003073A4" w:rsidRDefault="003073A4">
      <w:pPr>
        <w:spacing w:before="120" w:after="120"/>
        <w:ind w:right="193"/>
        <w:jc w:val="both"/>
        <w:rPr>
          <w:color w:val="FF0000"/>
        </w:rPr>
      </w:pPr>
    </w:p>
    <w:p w:rsidR="003073A4" w:rsidRDefault="000545DD">
      <w:pPr>
        <w:spacing w:before="120" w:after="120" w:line="360" w:lineRule="auto"/>
        <w:ind w:right="195"/>
        <w:jc w:val="both"/>
      </w:pPr>
      <w:r>
        <w:t>No exercício de 2025, a perspectiva de Aprendizado e Crescimento registrou resultados positivos em ambos os indicadores monitorados, com superação das metas estabelecidas no Planejamento Estratégico 2025-2029 e avanços no desenvolvimento de competências e na qualidade de vida dos colaboradores.</w:t>
      </w:r>
    </w:p>
    <w:p w:rsidR="003073A4" w:rsidRDefault="000545DD">
      <w:pPr>
        <w:spacing w:before="120" w:after="120" w:line="360" w:lineRule="auto"/>
        <w:ind w:right="195"/>
        <w:jc w:val="both"/>
      </w:pPr>
      <w:r>
        <w:t>O Plano de Capacitação alcançou a marca de 24,9 horas de capacitação por empregado, superando em 24,5% a meta de 20 horas estabelecida para o exercício. O resultado evidencia o comprometimento da CDC com o desenvolvimento contínuo de seu quadro de pessoal e com a valorização do capital humano como ativo estratégico da Companhia.</w:t>
      </w:r>
    </w:p>
    <w:p w:rsidR="003073A4" w:rsidRDefault="000545DD">
      <w:pPr>
        <w:spacing w:before="120" w:after="120" w:line="360" w:lineRule="auto"/>
        <w:ind w:right="195"/>
        <w:jc w:val="both"/>
      </w:pPr>
      <w:r>
        <w:t>Como propulsores para esse resultado, destacam-se capacitações que envolveram empregados das áreas administrativa, operacional e guarda portuária, bem como que se concentraram em temas estratégicos, por exemplo segurança portuária (ISPS Code); ética e integridade; relacionamento interpessoal e trabalho em equipe; gestão do tempo e de produtividade; gestão de metas e indicadores; gestão ambiental; primeiros socorros e comunicação; gestão do planejamento; etapas de contratação e licitação; gestão de contratos; análise e gestão de riscos; e, OKR e KPI: métricas e resultados.</w:t>
      </w:r>
    </w:p>
    <w:p w:rsidR="003073A4" w:rsidRDefault="000545DD">
      <w:pPr>
        <w:spacing w:before="120" w:after="120" w:line="360" w:lineRule="auto"/>
        <w:ind w:right="195"/>
        <w:jc w:val="both"/>
      </w:pPr>
      <w:r>
        <w:t>Em relação ao Plano de Qualidade de Vida no Trabalho (QVT), a CDC atingiu 81,8% de execução das ações previstas para 2025, superando em 2,25% a meta de 80% estabelecida para o exercício. O resultado reflete a implementação de campanhas voltadas às necessidades biopsicossociais dos colaboradores, ações de divulgação informativa e iniciativas de apoio ao equilíbrio e bem-estar no ambiente de trabalho. A execução integral das ações planejadas confirma a maturidade do programa de QVT e o reconhecimento da Companhia de que colaboradores saudáveis e engajados são condição essencial para a excelência operacional do Porto de Fortaleza.</w:t>
      </w:r>
    </w:p>
    <w:p w:rsidR="00C65639" w:rsidRDefault="00C65639">
      <w:pPr>
        <w:spacing w:before="120" w:after="120" w:line="360" w:lineRule="auto"/>
        <w:ind w:right="195"/>
        <w:jc w:val="both"/>
      </w:pPr>
    </w:p>
    <w:p w:rsidR="00C65639" w:rsidRDefault="00C65639">
      <w:pPr>
        <w:spacing w:before="120" w:after="120" w:line="360" w:lineRule="auto"/>
        <w:ind w:right="195"/>
        <w:jc w:val="both"/>
      </w:pPr>
    </w:p>
    <w:p w:rsidR="00C65639" w:rsidRDefault="00C65639">
      <w:pPr>
        <w:spacing w:before="120" w:after="120" w:line="360" w:lineRule="auto"/>
        <w:ind w:right="195"/>
        <w:jc w:val="both"/>
      </w:pPr>
    </w:p>
    <w:p w:rsidR="003073A4" w:rsidRDefault="000545DD">
      <w:pPr>
        <w:spacing w:before="120" w:after="120" w:line="360" w:lineRule="auto"/>
        <w:ind w:right="195"/>
        <w:jc w:val="both"/>
      </w:pPr>
      <w:r>
        <w:rPr>
          <w:sz w:val="18"/>
          <w:szCs w:val="18"/>
        </w:rPr>
        <w:lastRenderedPageBreak/>
        <w:t>Tabela 8 – Indicadores Aprendizado e Crescimento(Planejamento Estratégico 2025-2029)</w:t>
      </w:r>
    </w:p>
    <w:tbl>
      <w:tblPr>
        <w:tblStyle w:val="aa"/>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2019"/>
        <w:gridCol w:w="1447"/>
        <w:gridCol w:w="1034"/>
        <w:gridCol w:w="746"/>
        <w:gridCol w:w="584"/>
        <w:gridCol w:w="852"/>
        <w:gridCol w:w="756"/>
      </w:tblGrid>
      <w:tr w:rsidR="003073A4">
        <w:trPr>
          <w:trHeight w:val="300"/>
        </w:trPr>
        <w:tc>
          <w:tcPr>
            <w:tcW w:w="1482"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2019"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1447"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1034"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UN.</w:t>
            </w: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RESULT.</w:t>
            </w:r>
          </w:p>
        </w:tc>
        <w:tc>
          <w:tcPr>
            <w:tcW w:w="584"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p>
        </w:tc>
        <w:tc>
          <w:tcPr>
            <w:tcW w:w="852" w:type="dxa"/>
            <w:vMerge w:val="restart"/>
            <w:shd w:val="clear" w:color="auto" w:fill="203764"/>
            <w:vAlign w:val="center"/>
          </w:tcPr>
          <w:p w:rsidR="003073A4" w:rsidRDefault="000545DD">
            <w:pPr>
              <w:widowControl/>
              <w:jc w:val="center"/>
              <w:rPr>
                <w:b/>
                <w:bCs/>
                <w:color w:val="FFFFFF"/>
                <w:sz w:val="18"/>
                <w:szCs w:val="18"/>
              </w:rPr>
            </w:pPr>
            <w:r>
              <w:rPr>
                <w:b/>
                <w:bCs/>
                <w:color w:val="FFFFFF"/>
                <w:sz w:val="18"/>
                <w:szCs w:val="18"/>
              </w:rPr>
              <w:t>RESULT. 2025</w:t>
            </w:r>
          </w:p>
        </w:tc>
        <w:tc>
          <w:tcPr>
            <w:tcW w:w="756" w:type="dxa"/>
            <w:shd w:val="clear" w:color="auto" w:fill="203764"/>
            <w:vAlign w:val="center"/>
          </w:tcPr>
          <w:p w:rsidR="003073A4" w:rsidRDefault="000545DD">
            <w:pPr>
              <w:widowControl/>
              <w:jc w:val="center"/>
              <w:rPr>
                <w:b/>
                <w:bCs/>
                <w:color w:val="FFFFFF"/>
                <w:sz w:val="18"/>
                <w:szCs w:val="18"/>
              </w:rPr>
            </w:pPr>
            <w:r>
              <w:rPr>
                <w:b/>
                <w:bCs/>
                <w:color w:val="FFFFFF"/>
                <w:sz w:val="18"/>
                <w:szCs w:val="18"/>
              </w:rPr>
              <w:t>% META</w:t>
            </w:r>
          </w:p>
        </w:tc>
      </w:tr>
      <w:tr w:rsidR="003073A4">
        <w:trPr>
          <w:trHeight w:val="315"/>
        </w:trPr>
        <w:tc>
          <w:tcPr>
            <w:tcW w:w="1482"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2019"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1447"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1034"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4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584"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852" w:type="dxa"/>
            <w:vMerge/>
            <w:shd w:val="clear" w:color="auto" w:fill="203764"/>
            <w:vAlign w:val="center"/>
          </w:tcPr>
          <w:p w:rsidR="003073A4" w:rsidRDefault="003073A4">
            <w:pPr>
              <w:pBdr>
                <w:top w:val="nil"/>
                <w:left w:val="nil"/>
                <w:bottom w:val="nil"/>
                <w:right w:val="nil"/>
                <w:between w:val="nil"/>
              </w:pBdr>
              <w:spacing w:line="276" w:lineRule="auto"/>
              <w:rPr>
                <w:b/>
                <w:bCs/>
                <w:color w:val="FFFFFF"/>
                <w:sz w:val="18"/>
                <w:szCs w:val="18"/>
              </w:rPr>
            </w:pPr>
          </w:p>
        </w:tc>
        <w:tc>
          <w:tcPr>
            <w:tcW w:w="756"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r>
      <w:tr w:rsidR="003073A4">
        <w:trPr>
          <w:trHeight w:val="714"/>
        </w:trPr>
        <w:tc>
          <w:tcPr>
            <w:tcW w:w="1482" w:type="dxa"/>
            <w:shd w:val="clear" w:color="auto" w:fill="BFBFBF"/>
            <w:vAlign w:val="center"/>
          </w:tcPr>
          <w:p w:rsidR="003073A4" w:rsidRDefault="000545DD">
            <w:pPr>
              <w:widowControl/>
              <w:rPr>
                <w:b/>
                <w:bCs/>
                <w:sz w:val="16"/>
                <w:szCs w:val="16"/>
              </w:rPr>
            </w:pPr>
            <w:r>
              <w:rPr>
                <w:b/>
                <w:bCs/>
                <w:sz w:val="16"/>
                <w:szCs w:val="16"/>
              </w:rPr>
              <w:t>Plano de capacitação</w:t>
            </w:r>
          </w:p>
        </w:tc>
        <w:tc>
          <w:tcPr>
            <w:tcW w:w="2019" w:type="dxa"/>
            <w:shd w:val="clear" w:color="auto" w:fill="BFBFBF"/>
            <w:vAlign w:val="center"/>
          </w:tcPr>
          <w:p w:rsidR="003073A4" w:rsidRDefault="000545DD">
            <w:pPr>
              <w:widowControl/>
              <w:rPr>
                <w:b/>
                <w:bCs/>
                <w:sz w:val="16"/>
                <w:szCs w:val="16"/>
              </w:rPr>
            </w:pPr>
            <w:r>
              <w:rPr>
                <w:sz w:val="16"/>
                <w:szCs w:val="16"/>
              </w:rPr>
              <w:t>Desenvolver e reconhecer competências internas</w:t>
            </w:r>
          </w:p>
        </w:tc>
        <w:tc>
          <w:tcPr>
            <w:tcW w:w="1447" w:type="dxa"/>
            <w:shd w:val="clear" w:color="auto" w:fill="BFBFBF"/>
            <w:vAlign w:val="center"/>
          </w:tcPr>
          <w:p w:rsidR="003073A4" w:rsidRDefault="000545DD">
            <w:pPr>
              <w:widowControl/>
              <w:rPr>
                <w:sz w:val="16"/>
                <w:szCs w:val="16"/>
              </w:rPr>
            </w:pPr>
            <w:r>
              <w:rPr>
                <w:sz w:val="16"/>
                <w:szCs w:val="16"/>
              </w:rPr>
              <w:t>Horas de capacitação / N. de empregados</w:t>
            </w:r>
          </w:p>
        </w:tc>
        <w:tc>
          <w:tcPr>
            <w:tcW w:w="1034" w:type="dxa"/>
            <w:shd w:val="clear" w:color="auto" w:fill="BFBFBF"/>
            <w:vAlign w:val="center"/>
          </w:tcPr>
          <w:p w:rsidR="003073A4" w:rsidRDefault="000545DD">
            <w:pPr>
              <w:widowControl/>
              <w:jc w:val="center"/>
              <w:rPr>
                <w:sz w:val="16"/>
                <w:szCs w:val="16"/>
              </w:rPr>
            </w:pPr>
            <w:r>
              <w:rPr>
                <w:sz w:val="16"/>
                <w:szCs w:val="16"/>
              </w:rPr>
              <w:t>h/empregado</w:t>
            </w:r>
          </w:p>
        </w:tc>
        <w:tc>
          <w:tcPr>
            <w:tcW w:w="746" w:type="dxa"/>
            <w:shd w:val="clear" w:color="auto" w:fill="BFBFBF"/>
            <w:vAlign w:val="center"/>
          </w:tcPr>
          <w:p w:rsidR="003073A4" w:rsidRDefault="000545DD">
            <w:pPr>
              <w:widowControl/>
              <w:jc w:val="center"/>
              <w:rPr>
                <w:sz w:val="16"/>
                <w:szCs w:val="16"/>
              </w:rPr>
            </w:pPr>
            <w:r>
              <w:rPr>
                <w:sz w:val="16"/>
                <w:szCs w:val="16"/>
              </w:rPr>
              <w:t>75,3</w:t>
            </w:r>
          </w:p>
        </w:tc>
        <w:tc>
          <w:tcPr>
            <w:tcW w:w="584" w:type="dxa"/>
            <w:shd w:val="clear" w:color="auto" w:fill="BFBFBF"/>
            <w:vAlign w:val="center"/>
          </w:tcPr>
          <w:p w:rsidR="003073A4" w:rsidRDefault="000545DD">
            <w:pPr>
              <w:widowControl/>
              <w:jc w:val="center"/>
              <w:rPr>
                <w:sz w:val="16"/>
                <w:szCs w:val="16"/>
              </w:rPr>
            </w:pPr>
            <w:r>
              <w:rPr>
                <w:sz w:val="16"/>
                <w:szCs w:val="16"/>
              </w:rPr>
              <w:t>20</w:t>
            </w:r>
          </w:p>
        </w:tc>
        <w:tc>
          <w:tcPr>
            <w:tcW w:w="852" w:type="dxa"/>
            <w:shd w:val="clear" w:color="auto" w:fill="BFBFBF"/>
            <w:vAlign w:val="center"/>
          </w:tcPr>
          <w:p w:rsidR="003073A4" w:rsidRDefault="000545DD">
            <w:pPr>
              <w:widowControl/>
              <w:jc w:val="center"/>
              <w:rPr>
                <w:sz w:val="16"/>
                <w:szCs w:val="16"/>
              </w:rPr>
            </w:pPr>
            <w:r>
              <w:rPr>
                <w:sz w:val="16"/>
                <w:szCs w:val="16"/>
              </w:rPr>
              <w:t>24,9</w:t>
            </w:r>
          </w:p>
        </w:tc>
        <w:tc>
          <w:tcPr>
            <w:tcW w:w="756" w:type="dxa"/>
            <w:shd w:val="clear" w:color="auto" w:fill="BFBFBF"/>
            <w:vAlign w:val="center"/>
          </w:tcPr>
          <w:p w:rsidR="003073A4" w:rsidRDefault="000545DD">
            <w:pPr>
              <w:widowControl/>
              <w:rPr>
                <w:sz w:val="16"/>
                <w:szCs w:val="16"/>
              </w:rPr>
            </w:pPr>
            <w:r>
              <w:rPr>
                <w:sz w:val="16"/>
                <w:szCs w:val="16"/>
              </w:rPr>
              <w:t>↑ 24,5%</w:t>
            </w:r>
          </w:p>
        </w:tc>
      </w:tr>
      <w:tr w:rsidR="003073A4">
        <w:trPr>
          <w:trHeight w:val="824"/>
        </w:trPr>
        <w:tc>
          <w:tcPr>
            <w:tcW w:w="1482" w:type="dxa"/>
            <w:shd w:val="clear" w:color="auto" w:fill="BFBFBF"/>
            <w:vAlign w:val="center"/>
          </w:tcPr>
          <w:p w:rsidR="003073A4" w:rsidRDefault="000545DD">
            <w:pPr>
              <w:widowControl/>
              <w:rPr>
                <w:b/>
                <w:bCs/>
                <w:sz w:val="16"/>
                <w:szCs w:val="16"/>
              </w:rPr>
            </w:pPr>
            <w:r>
              <w:rPr>
                <w:b/>
                <w:bCs/>
                <w:sz w:val="16"/>
                <w:szCs w:val="16"/>
              </w:rPr>
              <w:t>Plano de Qualidade de Vida no Trabalho</w:t>
            </w:r>
          </w:p>
        </w:tc>
        <w:tc>
          <w:tcPr>
            <w:tcW w:w="2019" w:type="dxa"/>
            <w:shd w:val="clear" w:color="auto" w:fill="BFBFBF"/>
            <w:vAlign w:val="center"/>
          </w:tcPr>
          <w:p w:rsidR="003073A4" w:rsidRDefault="000545DD">
            <w:pPr>
              <w:widowControl/>
              <w:rPr>
                <w:b/>
                <w:bCs/>
                <w:sz w:val="16"/>
                <w:szCs w:val="16"/>
              </w:rPr>
            </w:pPr>
            <w:r>
              <w:rPr>
                <w:sz w:val="16"/>
                <w:szCs w:val="16"/>
              </w:rPr>
              <w:t>Fomentar a cultura orientada para a satisfação dos colaboradores</w:t>
            </w:r>
          </w:p>
        </w:tc>
        <w:tc>
          <w:tcPr>
            <w:tcW w:w="1447" w:type="dxa"/>
            <w:shd w:val="clear" w:color="auto" w:fill="BFBFBF"/>
            <w:vAlign w:val="center"/>
          </w:tcPr>
          <w:p w:rsidR="003073A4" w:rsidRDefault="000545DD">
            <w:pPr>
              <w:widowControl/>
              <w:rPr>
                <w:sz w:val="16"/>
                <w:szCs w:val="16"/>
              </w:rPr>
            </w:pPr>
            <w:r>
              <w:rPr>
                <w:sz w:val="16"/>
                <w:szCs w:val="16"/>
              </w:rPr>
              <w:t>Ações realizadas / Ações previstas</w:t>
            </w:r>
          </w:p>
          <w:p w:rsidR="003073A4" w:rsidRDefault="003073A4">
            <w:pPr>
              <w:widowControl/>
              <w:rPr>
                <w:sz w:val="16"/>
                <w:szCs w:val="16"/>
              </w:rPr>
            </w:pPr>
          </w:p>
        </w:tc>
        <w:tc>
          <w:tcPr>
            <w:tcW w:w="1034" w:type="dxa"/>
            <w:shd w:val="clear" w:color="auto" w:fill="BFBFBF"/>
            <w:vAlign w:val="center"/>
          </w:tcPr>
          <w:p w:rsidR="003073A4" w:rsidRDefault="000545DD">
            <w:pPr>
              <w:widowControl/>
              <w:jc w:val="center"/>
              <w:rPr>
                <w:sz w:val="16"/>
                <w:szCs w:val="16"/>
              </w:rPr>
            </w:pPr>
            <w:r>
              <w:rPr>
                <w:sz w:val="16"/>
                <w:szCs w:val="16"/>
              </w:rPr>
              <w:t>%</w:t>
            </w:r>
          </w:p>
        </w:tc>
        <w:tc>
          <w:tcPr>
            <w:tcW w:w="746" w:type="dxa"/>
            <w:shd w:val="clear" w:color="auto" w:fill="BFBFBF"/>
            <w:vAlign w:val="center"/>
          </w:tcPr>
          <w:p w:rsidR="003073A4" w:rsidRDefault="000545DD">
            <w:pPr>
              <w:widowControl/>
              <w:jc w:val="center"/>
              <w:rPr>
                <w:sz w:val="16"/>
                <w:szCs w:val="16"/>
              </w:rPr>
            </w:pPr>
            <w:r>
              <w:rPr>
                <w:sz w:val="16"/>
                <w:szCs w:val="16"/>
              </w:rPr>
              <w:t>100</w:t>
            </w:r>
          </w:p>
        </w:tc>
        <w:tc>
          <w:tcPr>
            <w:tcW w:w="584" w:type="dxa"/>
            <w:shd w:val="clear" w:color="auto" w:fill="BFBFBF"/>
            <w:vAlign w:val="center"/>
          </w:tcPr>
          <w:p w:rsidR="003073A4" w:rsidRDefault="000545DD">
            <w:pPr>
              <w:widowControl/>
              <w:jc w:val="center"/>
              <w:rPr>
                <w:sz w:val="16"/>
                <w:szCs w:val="16"/>
              </w:rPr>
            </w:pPr>
            <w:r>
              <w:rPr>
                <w:sz w:val="16"/>
                <w:szCs w:val="16"/>
              </w:rPr>
              <w:t>80</w:t>
            </w:r>
          </w:p>
        </w:tc>
        <w:tc>
          <w:tcPr>
            <w:tcW w:w="852" w:type="dxa"/>
            <w:shd w:val="clear" w:color="auto" w:fill="BFBFBF"/>
            <w:vAlign w:val="center"/>
          </w:tcPr>
          <w:p w:rsidR="003073A4" w:rsidRDefault="000545DD">
            <w:pPr>
              <w:widowControl/>
              <w:jc w:val="center"/>
              <w:rPr>
                <w:sz w:val="16"/>
                <w:szCs w:val="16"/>
              </w:rPr>
            </w:pPr>
            <w:r>
              <w:rPr>
                <w:sz w:val="16"/>
                <w:szCs w:val="16"/>
              </w:rPr>
              <w:t>81,8</w:t>
            </w:r>
          </w:p>
        </w:tc>
        <w:tc>
          <w:tcPr>
            <w:tcW w:w="756" w:type="dxa"/>
            <w:shd w:val="clear" w:color="auto" w:fill="BFBFBF"/>
            <w:vAlign w:val="center"/>
          </w:tcPr>
          <w:p w:rsidR="003073A4" w:rsidRDefault="000545DD">
            <w:pPr>
              <w:widowControl/>
              <w:rPr>
                <w:sz w:val="16"/>
                <w:szCs w:val="16"/>
              </w:rPr>
            </w:pPr>
            <w:r>
              <w:rPr>
                <w:sz w:val="16"/>
                <w:szCs w:val="16"/>
              </w:rPr>
              <w:t>↑ 2,25%</w:t>
            </w:r>
          </w:p>
        </w:tc>
      </w:tr>
    </w:tbl>
    <w:p w:rsidR="003073A4" w:rsidRDefault="003073A4">
      <w:pPr>
        <w:spacing w:before="23" w:line="219" w:lineRule="auto"/>
        <w:ind w:left="222"/>
        <w:rPr>
          <w:i/>
          <w:iCs/>
          <w:color w:val="FF0000"/>
          <w:sz w:val="18"/>
          <w:szCs w:val="18"/>
        </w:rPr>
      </w:pPr>
    </w:p>
    <w:p w:rsidR="003073A4" w:rsidRDefault="000545DD">
      <w:pPr>
        <w:spacing w:line="219" w:lineRule="auto"/>
        <w:ind w:left="262" w:hanging="262"/>
        <w:rPr>
          <w:color w:val="000000"/>
          <w:sz w:val="18"/>
          <w:szCs w:val="18"/>
        </w:rPr>
      </w:pPr>
      <w:r>
        <w:rPr>
          <w:sz w:val="18"/>
          <w:szCs w:val="18"/>
        </w:rPr>
        <w:t xml:space="preserve">Fonte: </w:t>
      </w:r>
      <w:r>
        <w:rPr>
          <w:color w:val="000000"/>
          <w:sz w:val="18"/>
          <w:szCs w:val="18"/>
        </w:rPr>
        <w:t>CODPLA - Coordenadoria de Planejamento Estratégico (2026)</w:t>
      </w:r>
    </w:p>
    <w:p w:rsidR="003073A4" w:rsidRDefault="003073A4">
      <w:pPr>
        <w:spacing w:before="23" w:line="219" w:lineRule="auto"/>
        <w:rPr>
          <w:i/>
          <w:iCs/>
          <w:color w:val="FF0000"/>
          <w:sz w:val="18"/>
          <w:szCs w:val="18"/>
        </w:rPr>
      </w:pPr>
    </w:p>
    <w:p w:rsidR="003073A4" w:rsidRDefault="000545DD">
      <w:pPr>
        <w:spacing w:before="120" w:after="120" w:line="360" w:lineRule="auto"/>
        <w:ind w:right="195"/>
        <w:jc w:val="both"/>
      </w:pPr>
      <w:r>
        <w:t>Com o objetivo de atender às diretrizes das políticas públicas, as metas estabelecidas para o Honorário Variável Mensal (HVM) da Diretoria visam estimular o alcance de resultados estratégicos relevantes para a Companhia. No exercício de 2025, a CDC alcançou desempenhos expressivos, atingindo os percentuais de 100% no 1º, 2º, 3º e 4º trimestres do exercício, conforme demonstrado na tabela a seguir.</w:t>
      </w:r>
    </w:p>
    <w:p w:rsidR="003073A4" w:rsidRPr="00C65639" w:rsidRDefault="003073A4">
      <w:pPr>
        <w:spacing w:before="120" w:after="120" w:line="360" w:lineRule="auto"/>
        <w:ind w:right="195"/>
        <w:jc w:val="both"/>
        <w:rPr>
          <w:sz w:val="10"/>
          <w:szCs w:val="10"/>
        </w:rPr>
      </w:pPr>
    </w:p>
    <w:p w:rsidR="003073A4" w:rsidRDefault="000545DD">
      <w:pPr>
        <w:spacing w:before="120" w:after="120" w:line="360" w:lineRule="auto"/>
        <w:ind w:right="195"/>
        <w:jc w:val="both"/>
      </w:pPr>
      <w:r>
        <w:rPr>
          <w:sz w:val="18"/>
          <w:szCs w:val="18"/>
        </w:rPr>
        <w:t>Tabela 9 – Resultados HVM 2025</w:t>
      </w:r>
    </w:p>
    <w:tbl>
      <w:tblPr>
        <w:tblStyle w:val="ab"/>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7"/>
        <w:gridCol w:w="864"/>
        <w:gridCol w:w="877"/>
        <w:gridCol w:w="877"/>
        <w:gridCol w:w="875"/>
      </w:tblGrid>
      <w:tr w:rsidR="003073A4">
        <w:trPr>
          <w:trHeight w:val="300"/>
        </w:trPr>
        <w:tc>
          <w:tcPr>
            <w:tcW w:w="5427" w:type="dxa"/>
            <w:shd w:val="clear" w:color="auto" w:fill="auto"/>
            <w:vAlign w:val="center"/>
          </w:tcPr>
          <w:p w:rsidR="003073A4" w:rsidRDefault="003073A4">
            <w:pPr>
              <w:widowControl/>
              <w:rPr>
                <w:rFonts w:ascii="Times New Roman" w:eastAsia="Times New Roman" w:hAnsi="Times New Roman" w:cs="Times New Roman"/>
                <w:color w:val="FF0000"/>
                <w:sz w:val="24"/>
                <w:szCs w:val="24"/>
              </w:rPr>
            </w:pPr>
          </w:p>
        </w:tc>
        <w:tc>
          <w:tcPr>
            <w:tcW w:w="3493" w:type="dxa"/>
            <w:gridSpan w:val="4"/>
            <w:shd w:val="clear" w:color="auto" w:fill="44536A"/>
            <w:vAlign w:val="center"/>
          </w:tcPr>
          <w:p w:rsidR="003073A4" w:rsidRDefault="000545DD">
            <w:pPr>
              <w:widowControl/>
              <w:jc w:val="center"/>
              <w:rPr>
                <w:b/>
                <w:bCs/>
                <w:color w:val="FFFFFF"/>
                <w:sz w:val="18"/>
                <w:szCs w:val="18"/>
              </w:rPr>
            </w:pPr>
            <w:r>
              <w:rPr>
                <w:b/>
                <w:bCs/>
                <w:color w:val="FFFFFF"/>
                <w:sz w:val="18"/>
                <w:szCs w:val="18"/>
              </w:rPr>
              <w:t>METAS DE GESTÃO HVM 2025</w:t>
            </w:r>
          </w:p>
        </w:tc>
      </w:tr>
      <w:tr w:rsidR="003073A4">
        <w:trPr>
          <w:trHeight w:val="300"/>
        </w:trPr>
        <w:tc>
          <w:tcPr>
            <w:tcW w:w="5427" w:type="dxa"/>
            <w:shd w:val="clear" w:color="auto" w:fill="auto"/>
            <w:vAlign w:val="center"/>
          </w:tcPr>
          <w:p w:rsidR="003073A4" w:rsidRDefault="003073A4">
            <w:pPr>
              <w:widowControl/>
              <w:jc w:val="center"/>
              <w:rPr>
                <w:b/>
                <w:bCs/>
                <w:color w:val="FF0000"/>
                <w:sz w:val="18"/>
                <w:szCs w:val="18"/>
              </w:rPr>
            </w:pPr>
          </w:p>
        </w:tc>
        <w:tc>
          <w:tcPr>
            <w:tcW w:w="864" w:type="dxa"/>
            <w:shd w:val="clear" w:color="auto" w:fill="44536A"/>
            <w:vAlign w:val="center"/>
          </w:tcPr>
          <w:p w:rsidR="003073A4" w:rsidRDefault="000545DD">
            <w:pPr>
              <w:widowControl/>
              <w:jc w:val="center"/>
              <w:rPr>
                <w:b/>
                <w:bCs/>
                <w:color w:val="FFFFFF"/>
                <w:sz w:val="18"/>
                <w:szCs w:val="18"/>
              </w:rPr>
            </w:pPr>
            <w:r>
              <w:rPr>
                <w:b/>
                <w:bCs/>
                <w:color w:val="FFFFFF"/>
                <w:sz w:val="18"/>
                <w:szCs w:val="18"/>
              </w:rPr>
              <w:t>1º Trimestre</w:t>
            </w:r>
          </w:p>
        </w:tc>
        <w:tc>
          <w:tcPr>
            <w:tcW w:w="877" w:type="dxa"/>
            <w:shd w:val="clear" w:color="auto" w:fill="44536A"/>
            <w:vAlign w:val="center"/>
          </w:tcPr>
          <w:p w:rsidR="003073A4" w:rsidRDefault="000545DD">
            <w:pPr>
              <w:widowControl/>
              <w:jc w:val="center"/>
              <w:rPr>
                <w:b/>
                <w:bCs/>
                <w:color w:val="FFFFFF"/>
                <w:sz w:val="18"/>
                <w:szCs w:val="18"/>
              </w:rPr>
            </w:pPr>
            <w:r>
              <w:rPr>
                <w:b/>
                <w:bCs/>
                <w:color w:val="FFFFFF"/>
                <w:sz w:val="18"/>
                <w:szCs w:val="18"/>
              </w:rPr>
              <w:t>2º Trimestre</w:t>
            </w:r>
          </w:p>
        </w:tc>
        <w:tc>
          <w:tcPr>
            <w:tcW w:w="877" w:type="dxa"/>
            <w:shd w:val="clear" w:color="auto" w:fill="44536A"/>
            <w:vAlign w:val="center"/>
          </w:tcPr>
          <w:p w:rsidR="003073A4" w:rsidRDefault="000545DD">
            <w:pPr>
              <w:widowControl/>
              <w:jc w:val="center"/>
              <w:rPr>
                <w:b/>
                <w:bCs/>
                <w:color w:val="FFFFFF"/>
                <w:sz w:val="18"/>
                <w:szCs w:val="18"/>
              </w:rPr>
            </w:pPr>
            <w:r>
              <w:rPr>
                <w:b/>
                <w:bCs/>
                <w:color w:val="FFFFFF"/>
                <w:sz w:val="18"/>
                <w:szCs w:val="18"/>
              </w:rPr>
              <w:t>3º Trimestre</w:t>
            </w:r>
          </w:p>
        </w:tc>
        <w:tc>
          <w:tcPr>
            <w:tcW w:w="875" w:type="dxa"/>
            <w:shd w:val="clear" w:color="auto" w:fill="44536A"/>
            <w:vAlign w:val="center"/>
          </w:tcPr>
          <w:p w:rsidR="003073A4" w:rsidRDefault="000545DD">
            <w:pPr>
              <w:widowControl/>
              <w:jc w:val="center"/>
              <w:rPr>
                <w:b/>
                <w:bCs/>
                <w:color w:val="FFFFFF"/>
                <w:sz w:val="18"/>
                <w:szCs w:val="18"/>
              </w:rPr>
            </w:pPr>
            <w:r>
              <w:rPr>
                <w:b/>
                <w:bCs/>
                <w:color w:val="FFFFFF"/>
                <w:sz w:val="18"/>
                <w:szCs w:val="18"/>
              </w:rPr>
              <w:t>4º Trimestre</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Planejamento e Desenvolvimento Portuário</w:t>
            </w:r>
          </w:p>
        </w:tc>
        <w:tc>
          <w:tcPr>
            <w:tcW w:w="864" w:type="dxa"/>
            <w:shd w:val="clear" w:color="auto" w:fill="BEBEBE"/>
            <w:vAlign w:val="center"/>
          </w:tcPr>
          <w:p w:rsidR="003073A4" w:rsidRDefault="000545DD">
            <w:pPr>
              <w:widowControl/>
              <w:jc w:val="center"/>
              <w:rPr>
                <w:color w:val="FF0000"/>
                <w:sz w:val="18"/>
                <w:szCs w:val="18"/>
              </w:rPr>
            </w:pPr>
            <w:r>
              <w:rPr>
                <w:sz w:val="18"/>
                <w:szCs w:val="18"/>
              </w:rPr>
              <w:t>12%</w:t>
            </w:r>
          </w:p>
        </w:tc>
        <w:tc>
          <w:tcPr>
            <w:tcW w:w="877" w:type="dxa"/>
            <w:shd w:val="clear" w:color="auto" w:fill="BEBEBE"/>
            <w:vAlign w:val="center"/>
          </w:tcPr>
          <w:p w:rsidR="003073A4" w:rsidRDefault="000545DD">
            <w:pPr>
              <w:widowControl/>
              <w:jc w:val="center"/>
              <w:rPr>
                <w:sz w:val="18"/>
                <w:szCs w:val="18"/>
              </w:rPr>
            </w:pPr>
            <w:r>
              <w:rPr>
                <w:sz w:val="18"/>
                <w:szCs w:val="18"/>
              </w:rPr>
              <w:t>20%</w:t>
            </w:r>
          </w:p>
        </w:tc>
        <w:tc>
          <w:tcPr>
            <w:tcW w:w="877" w:type="dxa"/>
            <w:shd w:val="clear" w:color="auto" w:fill="BEBEBE"/>
            <w:vAlign w:val="center"/>
          </w:tcPr>
          <w:p w:rsidR="003073A4" w:rsidRDefault="000545DD">
            <w:pPr>
              <w:widowControl/>
              <w:jc w:val="center"/>
              <w:rPr>
                <w:sz w:val="18"/>
                <w:szCs w:val="18"/>
              </w:rPr>
            </w:pPr>
            <w:r>
              <w:rPr>
                <w:sz w:val="18"/>
                <w:szCs w:val="18"/>
              </w:rPr>
              <w:t>20%</w:t>
            </w:r>
          </w:p>
        </w:tc>
        <w:tc>
          <w:tcPr>
            <w:tcW w:w="875" w:type="dxa"/>
            <w:shd w:val="clear" w:color="auto" w:fill="BEBEBE"/>
            <w:vAlign w:val="center"/>
          </w:tcPr>
          <w:p w:rsidR="003073A4" w:rsidRDefault="000545DD">
            <w:pPr>
              <w:widowControl/>
              <w:jc w:val="center"/>
              <w:rPr>
                <w:sz w:val="18"/>
                <w:szCs w:val="18"/>
              </w:rPr>
            </w:pPr>
            <w:r>
              <w:rPr>
                <w:sz w:val="18"/>
                <w:szCs w:val="18"/>
              </w:rPr>
              <w:t>20%</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Gestão Logística e de Operações</w:t>
            </w:r>
          </w:p>
        </w:tc>
        <w:tc>
          <w:tcPr>
            <w:tcW w:w="864" w:type="dxa"/>
            <w:shd w:val="clear" w:color="auto" w:fill="BEBEBE"/>
            <w:vAlign w:val="center"/>
          </w:tcPr>
          <w:p w:rsidR="003073A4" w:rsidRDefault="000545DD">
            <w:pPr>
              <w:widowControl/>
              <w:jc w:val="center"/>
              <w:rPr>
                <w:color w:val="FF0000"/>
                <w:sz w:val="18"/>
                <w:szCs w:val="18"/>
              </w:rPr>
            </w:pPr>
            <w:r>
              <w:rPr>
                <w:sz w:val="18"/>
                <w:szCs w:val="18"/>
              </w:rPr>
              <w:t>50%</w:t>
            </w:r>
          </w:p>
        </w:tc>
        <w:tc>
          <w:tcPr>
            <w:tcW w:w="877" w:type="dxa"/>
            <w:shd w:val="clear" w:color="auto" w:fill="BEBEBE"/>
            <w:vAlign w:val="center"/>
          </w:tcPr>
          <w:p w:rsidR="003073A4" w:rsidRDefault="000545DD">
            <w:pPr>
              <w:widowControl/>
              <w:jc w:val="center"/>
              <w:rPr>
                <w:sz w:val="18"/>
                <w:szCs w:val="18"/>
              </w:rPr>
            </w:pPr>
            <w:r>
              <w:rPr>
                <w:sz w:val="18"/>
                <w:szCs w:val="18"/>
              </w:rPr>
              <w:t>50%</w:t>
            </w:r>
          </w:p>
        </w:tc>
        <w:tc>
          <w:tcPr>
            <w:tcW w:w="877" w:type="dxa"/>
            <w:shd w:val="clear" w:color="auto" w:fill="BEBEBE"/>
            <w:vAlign w:val="center"/>
          </w:tcPr>
          <w:p w:rsidR="003073A4" w:rsidRDefault="000545DD">
            <w:pPr>
              <w:widowControl/>
              <w:jc w:val="center"/>
              <w:rPr>
                <w:sz w:val="18"/>
                <w:szCs w:val="18"/>
              </w:rPr>
            </w:pPr>
            <w:r>
              <w:rPr>
                <w:sz w:val="18"/>
                <w:szCs w:val="18"/>
              </w:rPr>
              <w:t>50%</w:t>
            </w:r>
          </w:p>
        </w:tc>
        <w:tc>
          <w:tcPr>
            <w:tcW w:w="875" w:type="dxa"/>
            <w:shd w:val="clear" w:color="auto" w:fill="BEBEBE"/>
            <w:vAlign w:val="center"/>
          </w:tcPr>
          <w:p w:rsidR="003073A4" w:rsidRDefault="000545DD">
            <w:pPr>
              <w:widowControl/>
              <w:jc w:val="center"/>
              <w:rPr>
                <w:sz w:val="18"/>
                <w:szCs w:val="18"/>
              </w:rPr>
            </w:pPr>
            <w:r>
              <w:rPr>
                <w:sz w:val="18"/>
                <w:szCs w:val="18"/>
              </w:rPr>
              <w:t>50%</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Gestão Patrimonial</w:t>
            </w:r>
          </w:p>
        </w:tc>
        <w:tc>
          <w:tcPr>
            <w:tcW w:w="864" w:type="dxa"/>
            <w:shd w:val="clear" w:color="auto" w:fill="BEBEBE"/>
            <w:vAlign w:val="center"/>
          </w:tcPr>
          <w:p w:rsidR="003073A4" w:rsidRDefault="000545DD">
            <w:pPr>
              <w:widowControl/>
              <w:jc w:val="center"/>
              <w:rPr>
                <w:color w:val="FF0000"/>
                <w:sz w:val="18"/>
                <w:szCs w:val="18"/>
              </w:rPr>
            </w:pPr>
            <w:r>
              <w:rPr>
                <w:sz w:val="18"/>
                <w:szCs w:val="18"/>
              </w:rPr>
              <w:t>32%</w:t>
            </w:r>
          </w:p>
        </w:tc>
        <w:tc>
          <w:tcPr>
            <w:tcW w:w="877" w:type="dxa"/>
            <w:shd w:val="clear" w:color="auto" w:fill="BEBEBE"/>
            <w:vAlign w:val="center"/>
          </w:tcPr>
          <w:p w:rsidR="003073A4" w:rsidRDefault="000545DD">
            <w:pPr>
              <w:widowControl/>
              <w:jc w:val="center"/>
              <w:rPr>
                <w:sz w:val="18"/>
                <w:szCs w:val="18"/>
              </w:rPr>
            </w:pPr>
            <w:r>
              <w:rPr>
                <w:sz w:val="18"/>
                <w:szCs w:val="18"/>
              </w:rPr>
              <w:t>25%</w:t>
            </w:r>
          </w:p>
        </w:tc>
        <w:tc>
          <w:tcPr>
            <w:tcW w:w="877" w:type="dxa"/>
            <w:shd w:val="clear" w:color="auto" w:fill="BEBEBE"/>
            <w:vAlign w:val="center"/>
          </w:tcPr>
          <w:p w:rsidR="003073A4" w:rsidRDefault="000545DD">
            <w:pPr>
              <w:widowControl/>
              <w:jc w:val="center"/>
              <w:rPr>
                <w:sz w:val="18"/>
                <w:szCs w:val="18"/>
              </w:rPr>
            </w:pPr>
            <w:r>
              <w:rPr>
                <w:sz w:val="18"/>
                <w:szCs w:val="18"/>
              </w:rPr>
              <w:t>25%</w:t>
            </w:r>
          </w:p>
        </w:tc>
        <w:tc>
          <w:tcPr>
            <w:tcW w:w="875" w:type="dxa"/>
            <w:shd w:val="clear" w:color="auto" w:fill="BEBEBE"/>
            <w:vAlign w:val="center"/>
          </w:tcPr>
          <w:p w:rsidR="003073A4" w:rsidRDefault="000545DD">
            <w:pPr>
              <w:widowControl/>
              <w:jc w:val="center"/>
              <w:rPr>
                <w:sz w:val="18"/>
                <w:szCs w:val="18"/>
              </w:rPr>
            </w:pPr>
            <w:r>
              <w:rPr>
                <w:sz w:val="18"/>
                <w:szCs w:val="18"/>
              </w:rPr>
              <w:t>25%</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Sustentabilidade Econômico-financeira e Governança</w:t>
            </w:r>
          </w:p>
        </w:tc>
        <w:tc>
          <w:tcPr>
            <w:tcW w:w="864" w:type="dxa"/>
            <w:shd w:val="clear" w:color="auto" w:fill="BEBEBE"/>
            <w:vAlign w:val="center"/>
          </w:tcPr>
          <w:p w:rsidR="003073A4" w:rsidRDefault="000545DD">
            <w:pPr>
              <w:widowControl/>
              <w:jc w:val="center"/>
              <w:rPr>
                <w:color w:val="FF0000"/>
                <w:sz w:val="18"/>
                <w:szCs w:val="18"/>
              </w:rPr>
            </w:pPr>
            <w:r>
              <w:rPr>
                <w:sz w:val="18"/>
                <w:szCs w:val="18"/>
              </w:rPr>
              <w:t>2%</w:t>
            </w:r>
          </w:p>
        </w:tc>
        <w:tc>
          <w:tcPr>
            <w:tcW w:w="877" w:type="dxa"/>
            <w:shd w:val="clear" w:color="auto" w:fill="BEBEBE"/>
            <w:vAlign w:val="center"/>
          </w:tcPr>
          <w:p w:rsidR="003073A4" w:rsidRDefault="000545DD">
            <w:pPr>
              <w:widowControl/>
              <w:jc w:val="center"/>
              <w:rPr>
                <w:sz w:val="18"/>
                <w:szCs w:val="18"/>
              </w:rPr>
            </w:pPr>
            <w:r>
              <w:rPr>
                <w:sz w:val="18"/>
                <w:szCs w:val="18"/>
              </w:rPr>
              <w:t>5%</w:t>
            </w:r>
          </w:p>
        </w:tc>
        <w:tc>
          <w:tcPr>
            <w:tcW w:w="877" w:type="dxa"/>
            <w:shd w:val="clear" w:color="auto" w:fill="BEBEBE"/>
            <w:vAlign w:val="center"/>
          </w:tcPr>
          <w:p w:rsidR="003073A4" w:rsidRDefault="000545DD">
            <w:pPr>
              <w:widowControl/>
              <w:jc w:val="center"/>
              <w:rPr>
                <w:sz w:val="18"/>
                <w:szCs w:val="18"/>
              </w:rPr>
            </w:pPr>
            <w:r>
              <w:rPr>
                <w:sz w:val="18"/>
                <w:szCs w:val="18"/>
              </w:rPr>
              <w:t>5%</w:t>
            </w:r>
          </w:p>
        </w:tc>
        <w:tc>
          <w:tcPr>
            <w:tcW w:w="875" w:type="dxa"/>
            <w:shd w:val="clear" w:color="auto" w:fill="BEBEBE"/>
            <w:vAlign w:val="center"/>
          </w:tcPr>
          <w:p w:rsidR="003073A4" w:rsidRDefault="000545DD">
            <w:pPr>
              <w:widowControl/>
              <w:jc w:val="center"/>
              <w:rPr>
                <w:sz w:val="18"/>
                <w:szCs w:val="18"/>
              </w:rPr>
            </w:pPr>
            <w:r>
              <w:rPr>
                <w:sz w:val="18"/>
                <w:szCs w:val="18"/>
              </w:rPr>
              <w:t>5%</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Gestão Administrativa e de Pessoas</w:t>
            </w:r>
          </w:p>
        </w:tc>
        <w:tc>
          <w:tcPr>
            <w:tcW w:w="864" w:type="dxa"/>
            <w:shd w:val="clear" w:color="auto" w:fill="BEBEBE"/>
            <w:vAlign w:val="center"/>
          </w:tcPr>
          <w:p w:rsidR="003073A4" w:rsidRDefault="000545DD">
            <w:pPr>
              <w:widowControl/>
              <w:jc w:val="center"/>
              <w:rPr>
                <w:color w:val="FF0000"/>
                <w:sz w:val="18"/>
                <w:szCs w:val="18"/>
              </w:rPr>
            </w:pPr>
            <w:r>
              <w:rPr>
                <w:sz w:val="18"/>
                <w:szCs w:val="18"/>
              </w:rPr>
              <w:t>4%</w:t>
            </w:r>
          </w:p>
        </w:tc>
        <w:tc>
          <w:tcPr>
            <w:tcW w:w="877" w:type="dxa"/>
            <w:shd w:val="clear" w:color="auto" w:fill="BEBEBE"/>
            <w:vAlign w:val="center"/>
          </w:tcPr>
          <w:p w:rsidR="003073A4" w:rsidRDefault="000545DD">
            <w:pPr>
              <w:widowControl/>
              <w:jc w:val="center"/>
              <w:rPr>
                <w:sz w:val="18"/>
                <w:szCs w:val="18"/>
              </w:rPr>
            </w:pPr>
            <w:r>
              <w:rPr>
                <w:sz w:val="18"/>
                <w:szCs w:val="18"/>
              </w:rPr>
              <w:t>-</w:t>
            </w:r>
          </w:p>
        </w:tc>
        <w:tc>
          <w:tcPr>
            <w:tcW w:w="877" w:type="dxa"/>
            <w:shd w:val="clear" w:color="auto" w:fill="BEBEBE"/>
            <w:vAlign w:val="center"/>
          </w:tcPr>
          <w:p w:rsidR="003073A4" w:rsidRDefault="000545DD">
            <w:pPr>
              <w:widowControl/>
              <w:jc w:val="center"/>
              <w:rPr>
                <w:sz w:val="18"/>
                <w:szCs w:val="18"/>
              </w:rPr>
            </w:pPr>
            <w:r>
              <w:rPr>
                <w:sz w:val="18"/>
                <w:szCs w:val="18"/>
              </w:rPr>
              <w:t>-</w:t>
            </w:r>
          </w:p>
        </w:tc>
        <w:tc>
          <w:tcPr>
            <w:tcW w:w="875" w:type="dxa"/>
            <w:shd w:val="clear" w:color="auto" w:fill="BEBEBE"/>
            <w:vAlign w:val="center"/>
          </w:tcPr>
          <w:p w:rsidR="003073A4" w:rsidRDefault="000545DD">
            <w:pPr>
              <w:widowControl/>
              <w:jc w:val="center"/>
              <w:rPr>
                <w:sz w:val="18"/>
                <w:szCs w:val="18"/>
              </w:rPr>
            </w:pPr>
            <w:r>
              <w:rPr>
                <w:sz w:val="18"/>
                <w:szCs w:val="18"/>
              </w:rPr>
              <w:t>-</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Sustentabilidade Ambiental   e   Integração com a Comunidade</w:t>
            </w:r>
          </w:p>
        </w:tc>
        <w:tc>
          <w:tcPr>
            <w:tcW w:w="864" w:type="dxa"/>
            <w:shd w:val="clear" w:color="auto" w:fill="BEBEBE"/>
            <w:vAlign w:val="center"/>
          </w:tcPr>
          <w:p w:rsidR="003073A4" w:rsidRDefault="000545DD">
            <w:pPr>
              <w:widowControl/>
              <w:jc w:val="center"/>
              <w:rPr>
                <w:sz w:val="18"/>
                <w:szCs w:val="18"/>
              </w:rPr>
            </w:pPr>
            <w:r>
              <w:rPr>
                <w:sz w:val="18"/>
                <w:szCs w:val="18"/>
              </w:rPr>
              <w:t>-</w:t>
            </w:r>
          </w:p>
        </w:tc>
        <w:tc>
          <w:tcPr>
            <w:tcW w:w="877" w:type="dxa"/>
            <w:shd w:val="clear" w:color="auto" w:fill="BEBEBE"/>
            <w:vAlign w:val="center"/>
          </w:tcPr>
          <w:p w:rsidR="003073A4" w:rsidRDefault="000545DD">
            <w:pPr>
              <w:widowControl/>
              <w:jc w:val="center"/>
              <w:rPr>
                <w:sz w:val="18"/>
                <w:szCs w:val="18"/>
              </w:rPr>
            </w:pPr>
            <w:r>
              <w:rPr>
                <w:sz w:val="18"/>
                <w:szCs w:val="18"/>
              </w:rPr>
              <w:t>-</w:t>
            </w:r>
          </w:p>
        </w:tc>
        <w:tc>
          <w:tcPr>
            <w:tcW w:w="877" w:type="dxa"/>
            <w:shd w:val="clear" w:color="auto" w:fill="BEBEBE"/>
            <w:vAlign w:val="center"/>
          </w:tcPr>
          <w:p w:rsidR="003073A4" w:rsidRDefault="000545DD">
            <w:pPr>
              <w:widowControl/>
              <w:jc w:val="center"/>
              <w:rPr>
                <w:sz w:val="18"/>
                <w:szCs w:val="18"/>
              </w:rPr>
            </w:pPr>
            <w:r>
              <w:rPr>
                <w:sz w:val="18"/>
                <w:szCs w:val="18"/>
              </w:rPr>
              <w:t>-</w:t>
            </w:r>
          </w:p>
        </w:tc>
        <w:tc>
          <w:tcPr>
            <w:tcW w:w="875" w:type="dxa"/>
            <w:shd w:val="clear" w:color="auto" w:fill="BEBEBE"/>
            <w:vAlign w:val="center"/>
          </w:tcPr>
          <w:p w:rsidR="003073A4" w:rsidRDefault="000545DD">
            <w:pPr>
              <w:widowControl/>
              <w:jc w:val="center"/>
              <w:rPr>
                <w:sz w:val="18"/>
                <w:szCs w:val="18"/>
              </w:rPr>
            </w:pPr>
            <w:r>
              <w:rPr>
                <w:sz w:val="18"/>
                <w:szCs w:val="18"/>
              </w:rPr>
              <w:t>-</w:t>
            </w:r>
          </w:p>
        </w:tc>
      </w:tr>
      <w:tr w:rsidR="003073A4">
        <w:trPr>
          <w:trHeight w:val="315"/>
        </w:trPr>
        <w:tc>
          <w:tcPr>
            <w:tcW w:w="5427" w:type="dxa"/>
            <w:shd w:val="clear" w:color="auto" w:fill="8496AF"/>
            <w:vAlign w:val="center"/>
          </w:tcPr>
          <w:p w:rsidR="003073A4" w:rsidRDefault="000545DD">
            <w:pPr>
              <w:widowControl/>
              <w:rPr>
                <w:b/>
                <w:bCs/>
                <w:sz w:val="20"/>
                <w:szCs w:val="20"/>
              </w:rPr>
            </w:pPr>
            <w:r>
              <w:rPr>
                <w:b/>
                <w:bCs/>
                <w:sz w:val="20"/>
                <w:szCs w:val="20"/>
              </w:rPr>
              <w:t>Total</w:t>
            </w:r>
          </w:p>
        </w:tc>
        <w:tc>
          <w:tcPr>
            <w:tcW w:w="864" w:type="dxa"/>
            <w:shd w:val="clear" w:color="auto" w:fill="BEBEBE"/>
            <w:vAlign w:val="center"/>
          </w:tcPr>
          <w:p w:rsidR="003073A4" w:rsidRDefault="000545DD">
            <w:pPr>
              <w:widowControl/>
              <w:jc w:val="center"/>
              <w:rPr>
                <w:sz w:val="18"/>
                <w:szCs w:val="18"/>
              </w:rPr>
            </w:pPr>
            <w:r>
              <w:rPr>
                <w:sz w:val="18"/>
                <w:szCs w:val="18"/>
              </w:rPr>
              <w:t>100%</w:t>
            </w:r>
          </w:p>
        </w:tc>
        <w:tc>
          <w:tcPr>
            <w:tcW w:w="877" w:type="dxa"/>
            <w:shd w:val="clear" w:color="auto" w:fill="BEBEBE"/>
            <w:vAlign w:val="center"/>
          </w:tcPr>
          <w:p w:rsidR="003073A4" w:rsidRDefault="000545DD">
            <w:pPr>
              <w:widowControl/>
              <w:jc w:val="center"/>
              <w:rPr>
                <w:sz w:val="18"/>
                <w:szCs w:val="18"/>
              </w:rPr>
            </w:pPr>
            <w:r>
              <w:rPr>
                <w:sz w:val="18"/>
                <w:szCs w:val="18"/>
              </w:rPr>
              <w:t>100%</w:t>
            </w:r>
          </w:p>
        </w:tc>
        <w:tc>
          <w:tcPr>
            <w:tcW w:w="877" w:type="dxa"/>
            <w:shd w:val="clear" w:color="auto" w:fill="BEBEBE"/>
            <w:vAlign w:val="center"/>
          </w:tcPr>
          <w:p w:rsidR="003073A4" w:rsidRDefault="000545DD">
            <w:pPr>
              <w:widowControl/>
              <w:jc w:val="center"/>
              <w:rPr>
                <w:sz w:val="18"/>
                <w:szCs w:val="18"/>
              </w:rPr>
            </w:pPr>
            <w:r>
              <w:rPr>
                <w:sz w:val="18"/>
                <w:szCs w:val="18"/>
              </w:rPr>
              <w:t>100%</w:t>
            </w:r>
          </w:p>
        </w:tc>
        <w:tc>
          <w:tcPr>
            <w:tcW w:w="875" w:type="dxa"/>
            <w:shd w:val="clear" w:color="auto" w:fill="BEBEBE"/>
            <w:vAlign w:val="center"/>
          </w:tcPr>
          <w:p w:rsidR="003073A4" w:rsidRDefault="000545DD">
            <w:pPr>
              <w:widowControl/>
              <w:jc w:val="center"/>
              <w:rPr>
                <w:sz w:val="18"/>
                <w:szCs w:val="18"/>
              </w:rPr>
            </w:pPr>
            <w:r>
              <w:rPr>
                <w:sz w:val="18"/>
                <w:szCs w:val="18"/>
              </w:rPr>
              <w:t>100%</w:t>
            </w:r>
          </w:p>
        </w:tc>
      </w:tr>
    </w:tbl>
    <w:p w:rsidR="003073A4" w:rsidRDefault="003073A4">
      <w:pPr>
        <w:spacing w:line="219" w:lineRule="auto"/>
        <w:ind w:left="222"/>
        <w:jc w:val="center"/>
        <w:rPr>
          <w:i/>
          <w:iCs/>
          <w:color w:val="FF0000"/>
          <w:sz w:val="18"/>
          <w:szCs w:val="18"/>
        </w:rPr>
      </w:pPr>
    </w:p>
    <w:p w:rsidR="003073A4" w:rsidRDefault="000545DD">
      <w:pPr>
        <w:spacing w:line="219" w:lineRule="auto"/>
        <w:ind w:left="262" w:hanging="262"/>
        <w:rPr>
          <w:sz w:val="18"/>
          <w:szCs w:val="18"/>
        </w:rPr>
      </w:pPr>
      <w:r>
        <w:rPr>
          <w:sz w:val="18"/>
          <w:szCs w:val="18"/>
        </w:rPr>
        <w:t xml:space="preserve"> Fonte: </w:t>
      </w:r>
      <w:r>
        <w:rPr>
          <w:color w:val="000000"/>
          <w:sz w:val="18"/>
          <w:szCs w:val="18"/>
        </w:rPr>
        <w:t>CODPLA - Coordenadoria de Planejamento Estratégico (2026)</w:t>
      </w:r>
    </w:p>
    <w:p w:rsidR="003073A4" w:rsidRDefault="003073A4">
      <w:pPr>
        <w:pBdr>
          <w:top w:val="nil"/>
          <w:left w:val="nil"/>
          <w:bottom w:val="nil"/>
          <w:right w:val="nil"/>
          <w:between w:val="nil"/>
        </w:pBdr>
        <w:spacing w:before="120" w:after="120" w:line="360" w:lineRule="auto"/>
        <w:ind w:right="195"/>
        <w:jc w:val="both"/>
        <w:rPr>
          <w:color w:val="FF0000"/>
        </w:rPr>
      </w:pPr>
    </w:p>
    <w:p w:rsidR="000545DD" w:rsidRPr="00AE5B3E" w:rsidRDefault="00780708" w:rsidP="000545DD">
      <w:pPr>
        <w:pStyle w:val="PargrafodaLista"/>
        <w:numPr>
          <w:ilvl w:val="2"/>
          <w:numId w:val="11"/>
        </w:numPr>
        <w:pBdr>
          <w:top w:val="nil"/>
          <w:left w:val="nil"/>
          <w:bottom w:val="nil"/>
          <w:right w:val="nil"/>
          <w:between w:val="nil"/>
        </w:pBdr>
        <w:spacing w:before="120" w:after="120" w:line="360" w:lineRule="auto"/>
        <w:ind w:right="195"/>
        <w:jc w:val="both"/>
        <w:rPr>
          <w:sz w:val="28"/>
          <w:szCs w:val="28"/>
        </w:rPr>
      </w:pPr>
      <w:r w:rsidRPr="00AE5B3E">
        <w:rPr>
          <w:sz w:val="28"/>
          <w:szCs w:val="28"/>
        </w:rPr>
        <w:t>Análise crítica dos r</w:t>
      </w:r>
      <w:r w:rsidR="000545DD" w:rsidRPr="00AE5B3E">
        <w:rPr>
          <w:sz w:val="28"/>
          <w:szCs w:val="28"/>
        </w:rPr>
        <w:t>esultados</w:t>
      </w:r>
    </w:p>
    <w:p w:rsidR="00CD755B" w:rsidRPr="00AE5B3E" w:rsidRDefault="00CD755B" w:rsidP="00CD755B">
      <w:pPr>
        <w:pBdr>
          <w:top w:val="nil"/>
          <w:left w:val="nil"/>
          <w:bottom w:val="nil"/>
          <w:right w:val="nil"/>
          <w:between w:val="nil"/>
        </w:pBdr>
        <w:spacing w:before="120" w:after="120" w:line="360" w:lineRule="auto"/>
        <w:ind w:left="222" w:right="195"/>
        <w:jc w:val="both"/>
      </w:pPr>
      <w:r w:rsidRPr="00AE5B3E">
        <w:t>Apesar dos avanços institucionais e operacionais observados no exercício de 2025, a Companhia Docas do Ceará identificou desvios relevantes em indicadores econômico</w:t>
      </w:r>
      <w:r w:rsidR="003C16B2" w:rsidRPr="00AE5B3E">
        <w:t>-</w:t>
      </w:r>
      <w:r w:rsidRPr="00AE5B3E">
        <w:t xml:space="preserve">financeiros, notadamente no resultado econômico, no EBITDA e na receita total, os quais apresentaram desempenho inferior às metas estabelecidas no Planejamento Estratégico 2025 a 2029, refletindo, dentre outros fatores, a frustração de receitas associadas </w:t>
      </w:r>
      <w:r w:rsidR="003C16B2" w:rsidRPr="00AE5B3E">
        <w:t>a</w:t>
      </w:r>
      <w:r w:rsidRPr="00AE5B3E">
        <w:t xml:space="preserve"> não realização de projetos estruturantes, especialmente o leilão de áreas estratégicas previsto no exercício, a sensibilidade da operação portuária às variações macroeconômicas e logísticas, com impacto direto na </w:t>
      </w:r>
      <w:r w:rsidRPr="00AE5B3E">
        <w:lastRenderedPageBreak/>
        <w:t xml:space="preserve">movimentação de cargas e a rigidez parcial da estrutura de custos operacionais, característica inerente </w:t>
      </w:r>
      <w:r w:rsidR="003C16B2" w:rsidRPr="00AE5B3E">
        <w:t>da</w:t>
      </w:r>
      <w:r w:rsidR="00792351" w:rsidRPr="00AE5B3E">
        <w:t>s</w:t>
      </w:r>
      <w:r w:rsidRPr="00AE5B3E">
        <w:t xml:space="preserve"> infraestruturas portuárias.</w:t>
      </w:r>
    </w:p>
    <w:p w:rsidR="00CD755B" w:rsidRPr="00AE5B3E" w:rsidRDefault="00CD755B" w:rsidP="00CD755B">
      <w:pPr>
        <w:pBdr>
          <w:top w:val="nil"/>
          <w:left w:val="nil"/>
          <w:bottom w:val="nil"/>
          <w:right w:val="nil"/>
          <w:between w:val="nil"/>
        </w:pBdr>
        <w:spacing w:before="120" w:after="120" w:line="360" w:lineRule="auto"/>
        <w:ind w:left="222" w:right="195"/>
        <w:jc w:val="both"/>
      </w:pPr>
      <w:r w:rsidRPr="00AE5B3E">
        <w:t>Como resposta a esse cenário, a Companhia iniciou a revisão de sua estratégia comercial e tarifária, intensificou a prospecção de novos arrendamentos, priorizou investimentos com maior retorno operacional e aprimorou os mecanismos de controle de custos e de eficiência operacional, com foco na recomposição gradual dos resultados e no fortalecimento da sustentabilidade econômico</w:t>
      </w:r>
      <w:r w:rsidR="003C16B2" w:rsidRPr="00AE5B3E">
        <w:t>-</w:t>
      </w:r>
      <w:r w:rsidRPr="00AE5B3E">
        <w:t>financeira.</w:t>
      </w:r>
    </w:p>
    <w:p w:rsidR="00CD755B" w:rsidRPr="00AE5B3E" w:rsidRDefault="00CD755B" w:rsidP="00CD755B">
      <w:pPr>
        <w:pBdr>
          <w:top w:val="nil"/>
          <w:left w:val="nil"/>
          <w:bottom w:val="nil"/>
          <w:right w:val="nil"/>
          <w:between w:val="nil"/>
        </w:pBdr>
        <w:spacing w:before="120" w:after="120" w:line="360" w:lineRule="auto"/>
        <w:ind w:left="222" w:right="195"/>
        <w:jc w:val="both"/>
      </w:pPr>
      <w:r w:rsidRPr="00AE5B3E">
        <w:t>Cumpre destacar, ainda, que a análise comparativa dos resultados entre os exercícios deve considerar eventos não recorrentes que impactaram de forma relevante o desempenho da Companhia, especialmente no exercício de 2023, cujo resultado operacional não se mostra diretamente comparável aos exercícios de 2024 e 2025, tendo em vista o reconhecimento de receitas extraordinárias decorrentes de êxito em demandas judiciais de natureza tributária, nas quais se discutia a recuperação de valores pagos a título de ISS, IRPJ, ICMS, IPVA, PIS e COFINS, inclusive sobre bases de cálculo vinculadas ao ISS e ao IPTU, sendo reconhecido, à luz de precedentes dos tribunais superiores, o direito da Companhia à imunidade tributária, com alcance retroativo aos créditos constituídos desde o exercício de 2017, resultando na expedição de precatórios por parte do ente municipal.</w:t>
      </w:r>
    </w:p>
    <w:p w:rsidR="00CD755B" w:rsidRPr="00AE5B3E" w:rsidRDefault="00CD755B" w:rsidP="00CD755B">
      <w:pPr>
        <w:pBdr>
          <w:top w:val="nil"/>
          <w:left w:val="nil"/>
          <w:bottom w:val="nil"/>
          <w:right w:val="nil"/>
          <w:between w:val="nil"/>
        </w:pBdr>
        <w:spacing w:before="120" w:after="120" w:line="360" w:lineRule="auto"/>
        <w:ind w:left="222" w:right="195"/>
        <w:jc w:val="both"/>
      </w:pPr>
      <w:r w:rsidRPr="00AE5B3E">
        <w:t>Adicionalmente, registra</w:t>
      </w:r>
      <w:r w:rsidR="003C16B2" w:rsidRPr="00AE5B3E">
        <w:t>-</w:t>
      </w:r>
      <w:r w:rsidRPr="00AE5B3E">
        <w:t xml:space="preserve">se a existência de ação judicial relevante envolvendo </w:t>
      </w:r>
      <w:r w:rsidR="003C16B2" w:rsidRPr="00AE5B3E">
        <w:t>a empresa</w:t>
      </w:r>
      <w:r w:rsidRPr="00AE5B3E">
        <w:t xml:space="preserve"> “De Francesco”, na qual a Companhia promoveu execução de crédito, tendo sido efetivada a penhora de bens imóveis da parte executada, em montante aproximado de </w:t>
      </w:r>
      <w:r w:rsidR="003C16B2" w:rsidRPr="00AE5B3E">
        <w:t>R$ 30 milhões (</w:t>
      </w:r>
      <w:r w:rsidRPr="00AE5B3E">
        <w:t>trinta milhões de reais</w:t>
      </w:r>
      <w:r w:rsidR="003C16B2" w:rsidRPr="00AE5B3E">
        <w:t>)</w:t>
      </w:r>
      <w:r w:rsidRPr="00AE5B3E">
        <w:t>, circunstância que possibilitou o adequado provisionamento contábil, nos termos das normas aplicáveis, considerando a existência de garantia real suficiente para suportar a expectativa de recuperação do crédito.</w:t>
      </w:r>
    </w:p>
    <w:p w:rsidR="000545DD" w:rsidRPr="00AE5B3E" w:rsidRDefault="00CD755B" w:rsidP="00CD755B">
      <w:pPr>
        <w:pBdr>
          <w:top w:val="nil"/>
          <w:left w:val="nil"/>
          <w:bottom w:val="nil"/>
          <w:right w:val="nil"/>
          <w:between w:val="nil"/>
        </w:pBdr>
        <w:spacing w:before="120" w:after="120" w:line="360" w:lineRule="auto"/>
        <w:ind w:left="222" w:right="195"/>
        <w:jc w:val="both"/>
      </w:pPr>
      <w:r w:rsidRPr="00AE5B3E">
        <w:t>Ressalta</w:t>
      </w:r>
      <w:r w:rsidR="003C16B2" w:rsidRPr="00AE5B3E">
        <w:t>-</w:t>
      </w:r>
      <w:r w:rsidRPr="00AE5B3E">
        <w:t>se que o reconhecimento contábil desses ativos segue critérios técnicos rigorosos, baseados no prognóstico das demandas judiciais elaborado pelo setor jurídico da Companhia, o qual é encaminhado à área contábil para fins de mensuração e eventual apropriação de créditos exequíveis, sendo cada processo classificado conforme sua probabilidade de êxito e de realização financeira, em conformidade com as normas contábeis vigentes e sob a fiscalização do Comitê de Auditoria e do Conselho Fiscal, assegurando transparência, prudência e aderência às melhores práticas de governança corporativa.</w:t>
      </w:r>
    </w:p>
    <w:p w:rsidR="00CD755B" w:rsidRPr="00AE5B3E" w:rsidRDefault="00CD755B" w:rsidP="00CD755B">
      <w:pPr>
        <w:pBdr>
          <w:top w:val="nil"/>
          <w:left w:val="nil"/>
          <w:bottom w:val="nil"/>
          <w:right w:val="nil"/>
          <w:between w:val="nil"/>
        </w:pBdr>
        <w:spacing w:before="120" w:after="120" w:line="360" w:lineRule="auto"/>
        <w:ind w:left="222" w:right="195"/>
        <w:jc w:val="both"/>
      </w:pPr>
    </w:p>
    <w:p w:rsidR="004F739F" w:rsidRPr="00AE5B3E" w:rsidRDefault="004F739F" w:rsidP="00CD755B">
      <w:pPr>
        <w:pBdr>
          <w:top w:val="nil"/>
          <w:left w:val="nil"/>
          <w:bottom w:val="nil"/>
          <w:right w:val="nil"/>
          <w:between w:val="nil"/>
        </w:pBdr>
        <w:spacing w:before="120" w:after="120" w:line="360" w:lineRule="auto"/>
        <w:ind w:left="222" w:right="195"/>
        <w:jc w:val="both"/>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sidRPr="00AE5B3E">
        <w:rPr>
          <w:b/>
          <w:bCs/>
          <w:sz w:val="32"/>
          <w:szCs w:val="32"/>
        </w:rPr>
        <w:lastRenderedPageBreak/>
        <w:t>Outras informações relevantes s</w:t>
      </w:r>
      <w:r>
        <w:rPr>
          <w:b/>
          <w:bCs/>
          <w:color w:val="000000"/>
          <w:sz w:val="32"/>
          <w:szCs w:val="32"/>
        </w:rPr>
        <w:t>obre objetivos de políticas públicas</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Considerando as diretrizes de políticas públicas e as especificações do art. 23 da Lei nº 13.303/2016, o Conselho de Administração aprovou, por meio da Deliberação CONSAD-CDC nº 69/2025, de 22 de dezembro de 2025, a atualização da estratégia de longo prazo da Companhia, sintetizada no Planejamento Estratégico 2026-2030, bem como o Plano de Negócios, com ações previstas para 2026. Ambos os documentos encontram-se publicados no site da CDC e podem ser acessados através do endereço </w:t>
      </w:r>
      <w:hyperlink r:id="rId16">
        <w:r>
          <w:rPr>
            <w:color w:val="000000"/>
            <w:u w:val="single"/>
          </w:rPr>
          <w:t>http://www.docasdoceara.com.br/acoes-e-programas</w:t>
        </w:r>
      </w:hyperlink>
      <w:r>
        <w:rPr>
          <w:color w:val="000000"/>
        </w:rPr>
        <w:t>.</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As principais alterações promovidas na estratégia foram decorrentes de uma aproximação com os diversos atores que se relacionam ou são impactados pelas atividades da CDC, através de abordagem que objetivou potencializar e reforçar a integração das ações da Companhia nas temáticas ambiental, social e de governança, sintetizadas na sigla ESG (</w:t>
      </w:r>
      <w:r>
        <w:rPr>
          <w:i/>
          <w:iCs/>
          <w:color w:val="000000"/>
        </w:rPr>
        <w:t>Environmental, Social and Governance)</w:t>
      </w:r>
      <w:r>
        <w:rPr>
          <w:color w:val="000000"/>
        </w:rPr>
        <w:t xml:space="preserve">. </w:t>
      </w:r>
    </w:p>
    <w:p w:rsidR="003073A4" w:rsidRDefault="000545DD">
      <w:pPr>
        <w:pBdr>
          <w:top w:val="nil"/>
          <w:left w:val="nil"/>
          <w:bottom w:val="nil"/>
          <w:right w:val="nil"/>
          <w:between w:val="nil"/>
        </w:pBdr>
        <w:spacing w:before="120" w:after="120" w:line="360" w:lineRule="auto"/>
        <w:ind w:right="195"/>
        <w:jc w:val="both"/>
        <w:rPr>
          <w:color w:val="FF0000"/>
          <w:sz w:val="18"/>
          <w:szCs w:val="18"/>
        </w:rPr>
      </w:pPr>
      <w:r>
        <w:rPr>
          <w:color w:val="000000"/>
        </w:rPr>
        <w:t>Considerando as tendências de mercado de incorporação de elementos ESG na estratégia, e com base em análise de cenários e contribuições internas das áreas técnicas e dos órgãos de governança da Companhia, foram definidos os temas materiais prioritários e atualizadas as perspectivas, os objetivos, os indicadores e as metas do planejamento estratégico para os próximos exercícios, conforme sintetizado no quadro a seguir:</w:t>
      </w:r>
    </w:p>
    <w:p w:rsidR="003073A4" w:rsidRDefault="003073A4">
      <w:pPr>
        <w:pBdr>
          <w:top w:val="nil"/>
          <w:left w:val="nil"/>
          <w:bottom w:val="nil"/>
          <w:right w:val="nil"/>
          <w:between w:val="nil"/>
        </w:pBdr>
        <w:spacing w:before="120" w:after="120" w:line="360" w:lineRule="auto"/>
        <w:ind w:left="426" w:hanging="426"/>
        <w:jc w:val="both"/>
        <w:rPr>
          <w:color w:val="FF0000"/>
          <w:sz w:val="18"/>
          <w:szCs w:val="18"/>
        </w:rPr>
      </w:pPr>
    </w:p>
    <w:p w:rsidR="003073A4" w:rsidRDefault="000545DD">
      <w:pPr>
        <w:pBdr>
          <w:top w:val="nil"/>
          <w:left w:val="nil"/>
          <w:bottom w:val="nil"/>
          <w:right w:val="nil"/>
          <w:between w:val="nil"/>
        </w:pBdr>
        <w:spacing w:before="120" w:after="120" w:line="360" w:lineRule="auto"/>
        <w:ind w:left="426" w:hanging="426"/>
        <w:jc w:val="both"/>
        <w:rPr>
          <w:color w:val="000000"/>
          <w:sz w:val="32"/>
          <w:szCs w:val="32"/>
        </w:rPr>
      </w:pPr>
      <w:r>
        <w:rPr>
          <w:color w:val="000000"/>
          <w:sz w:val="18"/>
          <w:szCs w:val="18"/>
        </w:rPr>
        <w:t>Tabela 10 – Indicadores e metas do Planejamento Estratégico - 2026 a 2030</w:t>
      </w:r>
    </w:p>
    <w:tbl>
      <w:tblPr>
        <w:tblStyle w:val="ac"/>
        <w:tblW w:w="8925" w:type="dxa"/>
        <w:tblInd w:w="0" w:type="dxa"/>
        <w:tblLayout w:type="fixed"/>
        <w:tblLook w:val="0400" w:firstRow="0" w:lastRow="0" w:firstColumn="0" w:lastColumn="0" w:noHBand="0" w:noVBand="1"/>
      </w:tblPr>
      <w:tblGrid>
        <w:gridCol w:w="1258"/>
        <w:gridCol w:w="2237"/>
        <w:gridCol w:w="1366"/>
        <w:gridCol w:w="1183"/>
        <w:gridCol w:w="784"/>
        <w:gridCol w:w="1360"/>
        <w:gridCol w:w="737"/>
      </w:tblGrid>
      <w:tr w:rsidR="003073A4">
        <w:trPr>
          <w:trHeight w:val="576"/>
          <w:tblHeader/>
        </w:trPr>
        <w:tc>
          <w:tcPr>
            <w:tcW w:w="1258" w:type="dxa"/>
            <w:tcBorders>
              <w:top w:val="single" w:sz="4" w:space="0" w:color="000000"/>
              <w:left w:val="single" w:sz="4" w:space="0" w:color="000000"/>
              <w:bottom w:val="single" w:sz="4" w:space="0" w:color="000000"/>
              <w:right w:val="single" w:sz="4" w:space="0" w:color="000000"/>
            </w:tcBorders>
            <w:shd w:val="clear" w:color="auto" w:fill="203764"/>
            <w:vAlign w:val="center"/>
          </w:tcPr>
          <w:p w:rsidR="003073A4" w:rsidRDefault="000545DD">
            <w:pPr>
              <w:widowControl/>
              <w:jc w:val="center"/>
              <w:rPr>
                <w:b/>
                <w:bCs/>
                <w:color w:val="FFFFFF"/>
                <w:sz w:val="18"/>
                <w:szCs w:val="18"/>
              </w:rPr>
            </w:pPr>
            <w:r>
              <w:rPr>
                <w:b/>
                <w:bCs/>
                <w:color w:val="FFFFFF"/>
                <w:sz w:val="18"/>
                <w:szCs w:val="18"/>
              </w:rPr>
              <w:t>PERSPECTIVA</w:t>
            </w:r>
          </w:p>
        </w:tc>
        <w:tc>
          <w:tcPr>
            <w:tcW w:w="2237" w:type="dxa"/>
            <w:tcBorders>
              <w:top w:val="single" w:sz="4" w:space="0" w:color="000000"/>
              <w:left w:val="single" w:sz="4" w:space="0" w:color="000000"/>
              <w:bottom w:val="single" w:sz="4" w:space="0" w:color="000000"/>
              <w:right w:val="single" w:sz="4" w:space="0" w:color="000000"/>
            </w:tcBorders>
            <w:shd w:val="clear" w:color="auto" w:fill="203764"/>
            <w:vAlign w:val="center"/>
          </w:tcPr>
          <w:p w:rsidR="003073A4" w:rsidRDefault="000545DD">
            <w:pPr>
              <w:widowControl/>
              <w:jc w:val="center"/>
              <w:rPr>
                <w:b/>
                <w:bCs/>
                <w:color w:val="FFFFFF"/>
                <w:sz w:val="18"/>
                <w:szCs w:val="18"/>
              </w:rPr>
            </w:pPr>
            <w:r>
              <w:rPr>
                <w:b/>
                <w:bCs/>
                <w:color w:val="FFFFFF"/>
                <w:sz w:val="18"/>
                <w:szCs w:val="18"/>
              </w:rPr>
              <w:t>OBJETIVO ESTRATÉGICO</w:t>
            </w:r>
          </w:p>
        </w:tc>
        <w:tc>
          <w:tcPr>
            <w:tcW w:w="1366" w:type="dxa"/>
            <w:tcBorders>
              <w:top w:val="single" w:sz="4" w:space="0" w:color="000000"/>
              <w:left w:val="single" w:sz="4" w:space="0" w:color="000000"/>
              <w:bottom w:val="single" w:sz="4" w:space="0" w:color="000000"/>
              <w:right w:val="single" w:sz="4" w:space="0" w:color="000000"/>
            </w:tcBorders>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203764"/>
            <w:vAlign w:val="center"/>
          </w:tcPr>
          <w:p w:rsidR="003073A4" w:rsidRDefault="000545DD">
            <w:pPr>
              <w:widowControl/>
              <w:jc w:val="center"/>
              <w:rPr>
                <w:b/>
                <w:bCs/>
                <w:color w:val="FFFFFF"/>
                <w:sz w:val="18"/>
                <w:szCs w:val="18"/>
              </w:rPr>
            </w:pPr>
            <w:r>
              <w:rPr>
                <w:b/>
                <w:bCs/>
                <w:color w:val="FFFFFF"/>
                <w:sz w:val="18"/>
                <w:szCs w:val="18"/>
              </w:rPr>
              <w:t>FÓRMULA</w:t>
            </w:r>
          </w:p>
        </w:tc>
        <w:tc>
          <w:tcPr>
            <w:tcW w:w="1360" w:type="dxa"/>
            <w:tcBorders>
              <w:top w:val="single" w:sz="4" w:space="0" w:color="000000"/>
              <w:left w:val="single" w:sz="4" w:space="0" w:color="000000"/>
              <w:bottom w:val="single" w:sz="4" w:space="0" w:color="000000"/>
              <w:right w:val="single" w:sz="4" w:space="0" w:color="000000"/>
            </w:tcBorders>
            <w:shd w:val="clear" w:color="auto" w:fill="203764"/>
          </w:tcPr>
          <w:p w:rsidR="003073A4" w:rsidRDefault="003073A4">
            <w:pPr>
              <w:widowControl/>
              <w:jc w:val="center"/>
              <w:rPr>
                <w:b/>
                <w:bCs/>
                <w:color w:val="FFFFFF"/>
                <w:sz w:val="18"/>
                <w:szCs w:val="18"/>
              </w:rPr>
            </w:pPr>
          </w:p>
          <w:p w:rsidR="003073A4" w:rsidRDefault="000545DD">
            <w:pPr>
              <w:widowControl/>
              <w:jc w:val="center"/>
              <w:rPr>
                <w:b/>
                <w:bCs/>
                <w:color w:val="FFFFFF"/>
                <w:sz w:val="18"/>
                <w:szCs w:val="18"/>
              </w:rPr>
            </w:pPr>
            <w:r>
              <w:rPr>
                <w:b/>
                <w:bCs/>
                <w:color w:val="FFFFFF"/>
                <w:sz w:val="18"/>
                <w:szCs w:val="18"/>
              </w:rPr>
              <w:t>UN.</w:t>
            </w:r>
          </w:p>
        </w:tc>
        <w:tc>
          <w:tcPr>
            <w:tcW w:w="737" w:type="dxa"/>
            <w:tcBorders>
              <w:top w:val="single" w:sz="4" w:space="0" w:color="000000"/>
              <w:left w:val="single" w:sz="4" w:space="0" w:color="000000"/>
              <w:bottom w:val="single" w:sz="4" w:space="0" w:color="000000"/>
              <w:right w:val="single" w:sz="4" w:space="0" w:color="000000"/>
            </w:tcBorders>
            <w:shd w:val="clear" w:color="auto" w:fill="203764"/>
            <w:vAlign w:val="center"/>
          </w:tcPr>
          <w:p w:rsidR="003073A4" w:rsidRDefault="000545DD">
            <w:pPr>
              <w:widowControl/>
              <w:jc w:val="center"/>
              <w:rPr>
                <w:b/>
                <w:bCs/>
                <w:color w:val="FFFFFF"/>
                <w:sz w:val="18"/>
                <w:szCs w:val="18"/>
              </w:rPr>
            </w:pPr>
            <w:r>
              <w:rPr>
                <w:b/>
                <w:bCs/>
                <w:color w:val="FFFFFF"/>
                <w:sz w:val="18"/>
                <w:szCs w:val="18"/>
              </w:rPr>
              <w:t>META</w:t>
            </w:r>
            <w:r>
              <w:rPr>
                <w:b/>
                <w:bCs/>
                <w:color w:val="FFFFFF"/>
                <w:sz w:val="18"/>
                <w:szCs w:val="18"/>
              </w:rPr>
              <w:br/>
              <w:t>2026</w:t>
            </w:r>
          </w:p>
        </w:tc>
      </w:tr>
      <w:tr w:rsidR="003073A4">
        <w:trPr>
          <w:trHeight w:val="762"/>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8497B0"/>
            <w:vAlign w:val="center"/>
          </w:tcPr>
          <w:p w:rsidR="003073A4" w:rsidRDefault="000545DD">
            <w:pPr>
              <w:widowControl/>
              <w:jc w:val="center"/>
              <w:rPr>
                <w:b/>
                <w:bCs/>
                <w:color w:val="FF0000"/>
                <w:sz w:val="16"/>
                <w:szCs w:val="16"/>
              </w:rPr>
            </w:pPr>
            <w:r>
              <w:rPr>
                <w:b/>
                <w:bCs/>
                <w:color w:val="FFFFFF"/>
                <w:sz w:val="16"/>
                <w:szCs w:val="16"/>
              </w:rPr>
              <w:t>Resultados</w:t>
            </w: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Resultado econômico</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Lucro ou prejuízo do exercício (DRE)</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R$ mil</w:t>
            </w:r>
          </w:p>
          <w:p w:rsidR="003073A4" w:rsidRDefault="003073A4">
            <w:pPr>
              <w:jc w:val="center"/>
              <w:rPr>
                <w:sz w:val="16"/>
                <w:szCs w:val="16"/>
              </w:rPr>
            </w:pPr>
          </w:p>
          <w:p w:rsidR="003073A4" w:rsidRDefault="003073A4">
            <w:pPr>
              <w:jc w:val="center"/>
              <w:rPr>
                <w:sz w:val="16"/>
                <w:szCs w:val="16"/>
              </w:rPr>
            </w:pP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5.982</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EBITDA</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Resultado Econômico - Amortização - Depreciação - Variações Monetárias - Outros Custos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R$ mil</w:t>
            </w:r>
          </w:p>
          <w:p w:rsidR="003073A4" w:rsidRDefault="003073A4">
            <w:pPr>
              <w:widowControl/>
              <w:jc w:val="center"/>
              <w:rPr>
                <w:sz w:val="16"/>
                <w:szCs w:val="16"/>
              </w:rPr>
            </w:pP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17.892</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Garantir a viabilidade econômica e autossuficiência financeira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Receita</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Receita Industrial Líquida + Receitas Financeiras +</w:t>
            </w:r>
          </w:p>
          <w:p w:rsidR="003073A4" w:rsidRDefault="000545DD">
            <w:pPr>
              <w:widowControl/>
              <w:rPr>
                <w:sz w:val="16"/>
                <w:szCs w:val="16"/>
              </w:rPr>
            </w:pPr>
            <w:r>
              <w:rPr>
                <w:sz w:val="16"/>
                <w:szCs w:val="16"/>
              </w:rPr>
              <w:t>Receitas de Aluguéis +  Outras receitas - Estornos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R$ mil</w:t>
            </w:r>
          </w:p>
          <w:p w:rsidR="003073A4" w:rsidRDefault="003073A4">
            <w:pPr>
              <w:widowControl/>
              <w:jc w:val="center"/>
              <w:rPr>
                <w:sz w:val="16"/>
                <w:szCs w:val="16"/>
              </w:rPr>
            </w:pP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115.113</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Promover o desenvolvimento econômico da região de influência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ESG</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Ações realizadas / Ações previstas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80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8497B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Realizar atividade portuária de forma ambientalmente sustentável</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IDA</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Índice geral do IDA</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93,88</w:t>
            </w:r>
          </w:p>
        </w:tc>
      </w:tr>
      <w:tr w:rsidR="003073A4">
        <w:trPr>
          <w:trHeight w:val="762"/>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9D08E"/>
            <w:vAlign w:val="center"/>
          </w:tcPr>
          <w:p w:rsidR="003073A4" w:rsidRDefault="000545DD">
            <w:pPr>
              <w:widowControl/>
              <w:jc w:val="center"/>
              <w:rPr>
                <w:b/>
                <w:bCs/>
                <w:color w:val="FF0000"/>
                <w:sz w:val="16"/>
                <w:szCs w:val="16"/>
              </w:rPr>
            </w:pPr>
            <w:r>
              <w:rPr>
                <w:b/>
                <w:bCs/>
                <w:color w:val="FFFFFF"/>
                <w:sz w:val="16"/>
                <w:szCs w:val="16"/>
              </w:rPr>
              <w:t>Sociedade e Mercado</w:t>
            </w: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Promover a comunicação institucional transparente, ampla e eficaz</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Comunicação</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Ações realizadas / Ações previstas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90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Obter excelência no relacionamento com as partes interessadas</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Satisfação dos usuários e Stakeholders</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Nível de satisfação dos clientes do porto</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85,90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Potencializar o uso dos ativos do Porto por meio de novas alternativas de negócio</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Áreas exploradas</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Áreas arrendadas ou cedidas / Áreas total disponível para cessão ou arrendamento do PDZ X 100</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57,5</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Potencializar o uso dos ativos do Porto por meio de novas alternativas de negócio</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 xml:space="preserve">Movimentação de cargas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Total de carga movimentada no período</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Mil ton.</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5.083</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A9D08E"/>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Potencializar o uso dos ativos do Porto por meio de novas alternativas de negócio</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 xml:space="preserve">Plano de Inovação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color w:val="FF0000"/>
                <w:sz w:val="16"/>
                <w:szCs w:val="16"/>
              </w:rPr>
            </w:pPr>
            <w:r>
              <w:rPr>
                <w:sz w:val="16"/>
                <w:szCs w:val="16"/>
              </w:rPr>
              <w:t>Ações realizadas / Ações previstas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color w:val="FF0000"/>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color w:val="FF0000"/>
                <w:sz w:val="16"/>
                <w:szCs w:val="16"/>
              </w:rPr>
            </w:pPr>
            <w:r>
              <w:rPr>
                <w:sz w:val="16"/>
                <w:szCs w:val="16"/>
              </w:rPr>
              <w:t>70</w:t>
            </w:r>
          </w:p>
        </w:tc>
      </w:tr>
      <w:tr w:rsidR="003073A4">
        <w:trPr>
          <w:trHeight w:val="762"/>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0545DD">
            <w:pPr>
              <w:widowControl/>
              <w:jc w:val="center"/>
              <w:rPr>
                <w:b/>
                <w:bCs/>
                <w:color w:val="FFFFFF"/>
                <w:sz w:val="16"/>
                <w:szCs w:val="16"/>
              </w:rPr>
            </w:pPr>
            <w:r>
              <w:rPr>
                <w:b/>
                <w:bCs/>
                <w:color w:val="FFFFFF"/>
                <w:sz w:val="16"/>
                <w:szCs w:val="16"/>
              </w:rPr>
              <w:t>Processos</w:t>
            </w: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Aprimorar e padronizar os processos e os instrumentos de governança, controle e integridade</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IG-SEST</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Índice geral do IG-SEST</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Un.</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97</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Aprimorar e padronizar os processos e os instrumentos de governança, controle e integridade</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IGAP</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Índice geral do IGAP</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Un.</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8,3</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Aprimorar e padronizar os processos e os instrumentos de governança, controle e integridade</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Ações de Integridade</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Ações realizadas / Ações previstas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90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Ser eficiente na gestão da segurança portuária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Segurança</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Ações realizadas / Ações previstas</w:t>
            </w:r>
          </w:p>
          <w:p w:rsidR="003073A4" w:rsidRDefault="003073A4">
            <w:pPr>
              <w:widowControl/>
              <w:rPr>
                <w:sz w:val="16"/>
                <w:szCs w:val="16"/>
              </w:rPr>
            </w:pP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80</w:t>
            </w:r>
          </w:p>
        </w:tc>
      </w:tr>
      <w:tr w:rsidR="003073A4">
        <w:trPr>
          <w:trHeight w:val="313"/>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Potencializar a produtividade operacional e modernizar a infraestrutura</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Prancha média (líquida)</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Qtde de carga movimentada pelos navios / nº horas atracados</w:t>
            </w:r>
          </w:p>
        </w:tc>
        <w:tc>
          <w:tcPr>
            <w:tcW w:w="7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Granel sólido cereal</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ton/h</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440</w:t>
            </w:r>
          </w:p>
        </w:tc>
      </w:tr>
      <w:tr w:rsidR="003073A4">
        <w:trPr>
          <w:trHeight w:val="313"/>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Contêiner</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0545DD">
            <w:pPr>
              <w:widowControl/>
              <w:jc w:val="center"/>
              <w:rPr>
                <w:sz w:val="16"/>
                <w:szCs w:val="16"/>
              </w:rPr>
            </w:pPr>
            <w:r>
              <w:rPr>
                <w:sz w:val="16"/>
                <w:szCs w:val="16"/>
              </w:rPr>
              <w:t>ton/h</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24</w:t>
            </w:r>
          </w:p>
        </w:tc>
      </w:tr>
      <w:tr w:rsidR="003073A4">
        <w:trPr>
          <w:trHeight w:val="313"/>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Granel sólido mineral</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ton/h</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270</w:t>
            </w:r>
          </w:p>
        </w:tc>
      </w:tr>
      <w:tr w:rsidR="003073A4">
        <w:trPr>
          <w:trHeight w:val="313"/>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pBdr>
                <w:top w:val="nil"/>
                <w:left w:val="nil"/>
                <w:bottom w:val="nil"/>
                <w:right w:val="nil"/>
                <w:between w:val="nil"/>
              </w:pBdr>
              <w:spacing w:line="276" w:lineRule="auto"/>
              <w:rPr>
                <w:sz w:val="16"/>
                <w:szCs w:val="16"/>
              </w:rPr>
            </w:pPr>
          </w:p>
        </w:tc>
        <w:tc>
          <w:tcPr>
            <w:tcW w:w="7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Granel líquido</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0545DD">
            <w:pPr>
              <w:widowControl/>
              <w:jc w:val="center"/>
              <w:rPr>
                <w:sz w:val="16"/>
                <w:szCs w:val="16"/>
              </w:rPr>
            </w:pPr>
            <w:r>
              <w:rPr>
                <w:sz w:val="16"/>
                <w:szCs w:val="16"/>
              </w:rPr>
              <w:t>ton/h</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60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Potencializar a produtividade operacional e modernizar a infraestrutura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Execução Orçamentária</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Execução do orçamento de investimento no período / Orçamento investimento aprovado no ano x 100</w:t>
            </w: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40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color w:val="FF0000"/>
                <w:sz w:val="16"/>
                <w:szCs w:val="16"/>
              </w:rPr>
            </w:pPr>
            <w:r>
              <w:rPr>
                <w:sz w:val="16"/>
                <w:szCs w:val="16"/>
              </w:rPr>
              <w:t>Potencializar a produtividade operacional e modernizar a infraestrutura</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Manutenção</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3073A4">
            <w:pPr>
              <w:widowControl/>
              <w:pBdr>
                <w:top w:val="nil"/>
                <w:left w:val="nil"/>
                <w:bottom w:val="nil"/>
                <w:right w:val="nil"/>
                <w:between w:val="nil"/>
              </w:pBdr>
              <w:ind w:left="57" w:right="57"/>
              <w:rPr>
                <w:color w:val="000000"/>
                <w:sz w:val="16"/>
                <w:szCs w:val="16"/>
              </w:rPr>
            </w:pPr>
          </w:p>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Ações realizadas / Ações previstas</w:t>
            </w:r>
          </w:p>
          <w:p w:rsidR="003073A4" w:rsidRDefault="003073A4">
            <w:pPr>
              <w:widowControl/>
              <w:pBdr>
                <w:top w:val="nil"/>
                <w:left w:val="nil"/>
                <w:bottom w:val="nil"/>
                <w:right w:val="nil"/>
                <w:between w:val="nil"/>
              </w:pBdr>
              <w:ind w:left="57" w:right="57"/>
              <w:rPr>
                <w:color w:val="000000"/>
                <w:sz w:val="16"/>
                <w:szCs w:val="16"/>
              </w:rPr>
            </w:pP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30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Promover a gestão dos processos e ativos de TIC</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ações de TI</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Ações realizadas / Ações previstas</w:t>
            </w:r>
          </w:p>
          <w:p w:rsidR="003073A4" w:rsidRDefault="003073A4">
            <w:pPr>
              <w:widowControl/>
              <w:rPr>
                <w:sz w:val="16"/>
                <w:szCs w:val="16"/>
              </w:rPr>
            </w:pPr>
          </w:p>
        </w:tc>
        <w:tc>
          <w:tcPr>
            <w:tcW w:w="1360" w:type="dxa"/>
            <w:tcBorders>
              <w:top w:val="single" w:sz="4" w:space="0" w:color="000000"/>
              <w:left w:val="single" w:sz="4" w:space="0" w:color="000000"/>
              <w:bottom w:val="single" w:sz="4" w:space="0" w:color="000000"/>
              <w:right w:val="single" w:sz="4" w:space="0" w:color="000000"/>
            </w:tcBorders>
            <w:shd w:val="clear" w:color="auto" w:fill="BFBFBF"/>
          </w:tcPr>
          <w:p w:rsidR="003073A4" w:rsidRDefault="003073A4">
            <w:pPr>
              <w:widowControl/>
              <w:jc w:val="center"/>
              <w:rPr>
                <w:sz w:val="16"/>
                <w:szCs w:val="16"/>
              </w:rPr>
            </w:pPr>
          </w:p>
          <w:p w:rsidR="003073A4" w:rsidRDefault="003073A4">
            <w:pPr>
              <w:widowControl/>
              <w:jc w:val="center"/>
              <w:rPr>
                <w:sz w:val="16"/>
                <w:szCs w:val="16"/>
              </w:rPr>
            </w:pPr>
          </w:p>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84</w:t>
            </w:r>
          </w:p>
        </w:tc>
      </w:tr>
      <w:tr w:rsidR="003073A4">
        <w:trPr>
          <w:trHeight w:val="762"/>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548235"/>
            <w:vAlign w:val="center"/>
          </w:tcPr>
          <w:p w:rsidR="003073A4" w:rsidRDefault="000545DD">
            <w:pPr>
              <w:widowControl/>
              <w:jc w:val="center"/>
              <w:rPr>
                <w:b/>
                <w:bCs/>
                <w:color w:val="FFFFFF"/>
                <w:sz w:val="16"/>
                <w:szCs w:val="16"/>
              </w:rPr>
            </w:pPr>
            <w:r>
              <w:rPr>
                <w:b/>
                <w:bCs/>
                <w:color w:val="FFFFFF"/>
                <w:sz w:val="16"/>
                <w:szCs w:val="16"/>
              </w:rPr>
              <w:t>Aprendizado e Crescimento</w:t>
            </w: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Desenvolver e reconhecer competências internas</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Capacitação</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sz w:val="16"/>
                <w:szCs w:val="16"/>
              </w:rPr>
            </w:pPr>
            <w:r>
              <w:rPr>
                <w:sz w:val="16"/>
                <w:szCs w:val="16"/>
              </w:rPr>
              <w:t>Horas de capacitação / Nº de empregados</w:t>
            </w:r>
          </w:p>
        </w:tc>
        <w:tc>
          <w:tcPr>
            <w:tcW w:w="13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h/empregado</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20</w:t>
            </w:r>
          </w:p>
        </w:tc>
      </w:tr>
      <w:tr w:rsidR="003073A4">
        <w:trPr>
          <w:trHeight w:val="762"/>
        </w:trPr>
        <w:tc>
          <w:tcPr>
            <w:tcW w:w="1258" w:type="dxa"/>
            <w:vMerge/>
            <w:tcBorders>
              <w:top w:val="single" w:sz="4" w:space="0" w:color="000000"/>
              <w:left w:val="single" w:sz="4" w:space="0" w:color="000000"/>
              <w:bottom w:val="single" w:sz="4" w:space="0" w:color="000000"/>
              <w:right w:val="single" w:sz="4" w:space="0" w:color="000000"/>
            </w:tcBorders>
            <w:shd w:val="clear" w:color="auto" w:fill="548235"/>
            <w:vAlign w:val="center"/>
          </w:tcPr>
          <w:p w:rsidR="003073A4" w:rsidRDefault="003073A4">
            <w:pPr>
              <w:pBdr>
                <w:top w:val="nil"/>
                <w:left w:val="nil"/>
                <w:bottom w:val="nil"/>
                <w:right w:val="nil"/>
                <w:between w:val="nil"/>
              </w:pBdr>
              <w:spacing w:line="276" w:lineRule="auto"/>
              <w:rPr>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sz w:val="16"/>
                <w:szCs w:val="16"/>
              </w:rPr>
              <w:t>Fomentar a cultura orientada para a satisfação dos colaboradores</w:t>
            </w:r>
          </w:p>
        </w:tc>
        <w:tc>
          <w:tcPr>
            <w:tcW w:w="13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rPr>
                <w:b/>
                <w:bCs/>
                <w:sz w:val="16"/>
                <w:szCs w:val="16"/>
              </w:rPr>
            </w:pPr>
            <w:r>
              <w:rPr>
                <w:b/>
                <w:bCs/>
                <w:sz w:val="16"/>
                <w:szCs w:val="16"/>
              </w:rPr>
              <w:t>Plano de Qualidade de Vida no Trabalho</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pBdr>
                <w:top w:val="nil"/>
                <w:left w:val="nil"/>
                <w:bottom w:val="nil"/>
                <w:right w:val="nil"/>
                <w:between w:val="nil"/>
              </w:pBdr>
              <w:ind w:left="57" w:right="57"/>
              <w:rPr>
                <w:color w:val="000000"/>
                <w:sz w:val="16"/>
                <w:szCs w:val="16"/>
              </w:rPr>
            </w:pPr>
            <w:r>
              <w:rPr>
                <w:color w:val="000000"/>
                <w:sz w:val="16"/>
                <w:szCs w:val="16"/>
              </w:rPr>
              <w:t>Ações realizadas / Ações previstas</w:t>
            </w:r>
          </w:p>
          <w:p w:rsidR="003073A4" w:rsidRDefault="003073A4">
            <w:pPr>
              <w:widowControl/>
              <w:rPr>
                <w:sz w:val="16"/>
                <w:szCs w:val="16"/>
              </w:rPr>
            </w:pPr>
          </w:p>
        </w:tc>
        <w:tc>
          <w:tcPr>
            <w:tcW w:w="13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73A4" w:rsidRDefault="000545DD">
            <w:pPr>
              <w:widowControl/>
              <w:jc w:val="center"/>
              <w:rPr>
                <w:sz w:val="16"/>
                <w:szCs w:val="16"/>
              </w:rPr>
            </w:pPr>
            <w:r>
              <w:rPr>
                <w:sz w:val="16"/>
                <w:szCs w:val="16"/>
              </w:rPr>
              <w:t>90</w:t>
            </w:r>
          </w:p>
        </w:tc>
      </w:tr>
    </w:tbl>
    <w:p w:rsidR="003073A4" w:rsidRDefault="000545DD">
      <w:pPr>
        <w:spacing w:line="219" w:lineRule="auto"/>
        <w:ind w:left="262" w:hanging="262"/>
        <w:rPr>
          <w:color w:val="000000"/>
          <w:sz w:val="18"/>
          <w:szCs w:val="18"/>
        </w:rPr>
      </w:pPr>
      <w:r>
        <w:rPr>
          <w:color w:val="000000"/>
          <w:sz w:val="18"/>
          <w:szCs w:val="18"/>
        </w:rPr>
        <w:t>Fonte: CODPLA - Coordenadoria de Planejamento Estratégico (2026)</w:t>
      </w:r>
    </w:p>
    <w:p w:rsidR="003073A4" w:rsidRDefault="003073A4">
      <w:pPr>
        <w:spacing w:line="219" w:lineRule="auto"/>
        <w:ind w:left="262" w:hanging="262"/>
        <w:rPr>
          <w:color w:val="FF0000"/>
          <w:sz w:val="18"/>
          <w:szCs w:val="18"/>
        </w:rPr>
      </w:pPr>
    </w:p>
    <w:p w:rsidR="004F739F" w:rsidRDefault="004F739F">
      <w:pPr>
        <w:spacing w:line="219" w:lineRule="auto"/>
        <w:ind w:left="262" w:hanging="262"/>
        <w:rPr>
          <w:color w:val="FF0000"/>
          <w:sz w:val="18"/>
          <w:szCs w:val="18"/>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lastRenderedPageBreak/>
        <w:t>Aderência aos ODS e iniciativas de ESG</w:t>
      </w:r>
    </w:p>
    <w:p w:rsidR="003073A4" w:rsidRDefault="000545DD">
      <w:pPr>
        <w:spacing w:line="360" w:lineRule="auto"/>
        <w:jc w:val="both"/>
        <w:rPr>
          <w:color w:val="000000"/>
        </w:rPr>
      </w:pPr>
      <w:r>
        <w:rPr>
          <w:color w:val="000000"/>
        </w:rPr>
        <w:t xml:space="preserve">A estratégia da empresa foi construída de forma alinhada aos Objetivos de Desenvolvimento Sustentável (ODS), proposto pela Agenda 2030 da ONU. A materialidade pode ser evidenciada no relacionamento dos ODS com os objetivos estratégicos e com as ações da empresa. As práticas da CDC descritas neste relatório contribuem para o alcance de 13 dos 17 ODSs, conforme esquematização ilustrada a seguir: </w: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Figura 3 – Alinhamento do Planejamento Estratégico com os ODS</w:t>
      </w:r>
    </w:p>
    <w:p w:rsidR="003073A4" w:rsidRDefault="000545DD" w:rsidP="004F739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Arial" w:eastAsia="Arial" w:hAnsi="Arial" w:cs="Arial"/>
          <w:color w:val="FF0000"/>
          <w:sz w:val="24"/>
          <w:szCs w:val="24"/>
        </w:rPr>
      </w:pPr>
      <w:r>
        <w:rPr>
          <w:rFonts w:ascii="Arial" w:eastAsia="Arial" w:hAnsi="Arial" w:cs="Arial"/>
          <w:noProof/>
          <w:color w:val="FF0000"/>
          <w:sz w:val="24"/>
          <w:szCs w:val="24"/>
        </w:rPr>
        <w:drawing>
          <wp:inline distT="0" distB="0" distL="0" distR="0">
            <wp:extent cx="5734740" cy="310626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4740" cy="3106263"/>
                    </a:xfrm>
                    <a:prstGeom prst="rect">
                      <a:avLst/>
                    </a:prstGeom>
                    <a:ln/>
                  </pic:spPr>
                </pic:pic>
              </a:graphicData>
            </a:graphic>
          </wp:inline>
        </w:drawing>
      </w:r>
    </w:p>
    <w:p w:rsidR="003073A4" w:rsidRDefault="000545DD">
      <w:pPr>
        <w:spacing w:line="219" w:lineRule="auto"/>
        <w:ind w:left="262" w:hanging="262"/>
        <w:rPr>
          <w:color w:val="000000"/>
          <w:sz w:val="18"/>
          <w:szCs w:val="18"/>
        </w:rPr>
      </w:pPr>
      <w:r>
        <w:rPr>
          <w:color w:val="000000"/>
          <w:sz w:val="18"/>
          <w:szCs w:val="18"/>
        </w:rPr>
        <w:t>Fonte: CODPLA - Coordenadoria de Planejamento Estratégico (2026)</w:t>
      </w:r>
    </w:p>
    <w:p w:rsidR="004F739F" w:rsidRDefault="004F739F">
      <w:pPr>
        <w:spacing w:line="219" w:lineRule="auto"/>
        <w:ind w:left="262" w:hanging="262"/>
        <w:rPr>
          <w:color w:val="000000"/>
          <w:sz w:val="18"/>
          <w:szCs w:val="18"/>
        </w:rPr>
      </w:pPr>
    </w:p>
    <w:p w:rsidR="003073A4" w:rsidRDefault="000545DD">
      <w:pPr>
        <w:spacing w:after="120" w:line="360" w:lineRule="auto"/>
        <w:jc w:val="both"/>
        <w:rPr>
          <w:color w:val="000000"/>
        </w:rPr>
      </w:pPr>
      <w:r>
        <w:rPr>
          <w:color w:val="000000"/>
        </w:rPr>
        <w:t>Ainda com o objetivo de alinhar-se às melhores práticas de mercado e a parâmetros internacionais, em 2025, foi mantido e aperfeiçoado o Comitê ESG da CDC, instituído desde 2024, caracterizado por composição multidisciplinar, responsável por estruturar políticas internas e promover diagnósticos de processos e de procedimentos da Companhia, bem como da área de entorno, voltados aos eixos Ambiental, Social e de Governança. Em 2025, como resultado direto desse processo estruturante e do engajamento de colaboradores de diversas áreas, a CDC conquistou a Certificação ESG – FIEC, evidenciando a consolidação das práticas institucionais relacionadas à sustentabilidade, à responsabilidade social e à governança corporativa. Foi a CDC a primeira estatal a receber a premiação.</w:t>
      </w:r>
    </w:p>
    <w:p w:rsidR="003073A4" w:rsidRDefault="000545DD">
      <w:pPr>
        <w:spacing w:after="120" w:line="360" w:lineRule="auto"/>
        <w:jc w:val="both"/>
        <w:rPr>
          <w:color w:val="000000"/>
        </w:rPr>
      </w:pPr>
      <w:r>
        <w:rPr>
          <w:color w:val="000000"/>
        </w:rPr>
        <w:t xml:space="preserve">O processo de certificação exigiu amplo envolvimento das áreas da Companhia, com a organização e atendimento a 74 indicadores distribuídos nas dimensões ambiental, social e de governança. A atuação integrada das equipes permitiu à CDC alcançar o rating BBB na 13ª edição do Selo ESG-FIEC, </w:t>
      </w:r>
      <w:r>
        <w:rPr>
          <w:color w:val="000000"/>
        </w:rPr>
        <w:lastRenderedPageBreak/>
        <w:t>reconhecimento que posiciona a Companhia entre as organizações cearenses com práticas estruturadas e alinhadas aos princípios contemporâneos de sustentabilidade e de gestão responsável. A certificação representa marco relevante para a Companhia, não apenas como instrumento de conformidade e reputação institucional, mas como diferencial competitivo frente ao mercado portuário, investidores, parceiros e sociedade.</w:t>
      </w:r>
    </w:p>
    <w:p w:rsidR="003073A4" w:rsidRDefault="000545DD">
      <w:pPr>
        <w:spacing w:after="120" w:line="360" w:lineRule="auto"/>
        <w:jc w:val="both"/>
        <w:rPr>
          <w:color w:val="000000"/>
        </w:rPr>
      </w:pPr>
      <w:r>
        <w:rPr>
          <w:color w:val="000000"/>
        </w:rPr>
        <w:t xml:space="preserve">No eixo ambiental, destacam-se dois avanços estruturantes em 2025: o alcance do maior índice histórico no Índice de Desempenho Ambiental (IDA) da ANTAQ e a conclusão do Plano de Descarbonização do Porto de Fortaleza. O Porto de Fortaleza atingiu o maior índice histórico no Índice de Desempenho Ambiental (IDA) da ANTAQ, alcançando 91,12 pontos, resultado que evidencia a maturidade das práticas ambientais adotadas pela empresa. Ademais, foi concluído o Plano de Descarbonização do Porto de Fortaleza, elaborado em parceria com a </w:t>
      </w:r>
      <w:r w:rsidRPr="00AE5B3E">
        <w:rPr>
          <w:i/>
          <w:color w:val="000000"/>
        </w:rPr>
        <w:t>Fundación Valenciaport</w:t>
      </w:r>
      <w:r>
        <w:rPr>
          <w:color w:val="000000"/>
        </w:rPr>
        <w:t>, estabelecendo diagnóstico completo das emissões de gases de efeito estufa e diretrizes estratégicas para redução progressiva até 2050, com proposição de iniciativas técnicas e operacionais voltadas à transição para um porto de menor impacto climático. Como reconhecimento pelas iniciativas implementadas, a Companhia foi agraciada com o Selo Pró-Clima 2025, reforçando seu compromisso com a agenda de sustentabilidade ambiental.</w:t>
      </w:r>
    </w:p>
    <w:p w:rsidR="003073A4" w:rsidRDefault="000545DD">
      <w:pPr>
        <w:spacing w:after="120" w:line="360" w:lineRule="auto"/>
        <w:jc w:val="both"/>
        <w:rPr>
          <w:color w:val="000000"/>
        </w:rPr>
      </w:pPr>
      <w:r>
        <w:rPr>
          <w:color w:val="000000"/>
        </w:rPr>
        <w:t>No campo social, foi concluído o Estudo de Diagnóstico Territorial dos bairros do entorno do Porto de Fortaleza — Cais do Porto, Mucuripe e Vicente Pinzón — instrumento que amplia a compreensão do contexto socioeconômico local e fortalece a estratégia porto-cidade. O diagnóstico consolida informações estruturadas sobre aspectos econômicos, educacionais, culturais e socioambientais, subsidiando futuras ações institucionais mais assertivas e promovendo maior interação e proximidade com as comunidades do entorno.</w:t>
      </w:r>
    </w:p>
    <w:p w:rsidR="003073A4" w:rsidRDefault="000545DD">
      <w:pPr>
        <w:spacing w:after="120" w:line="360" w:lineRule="auto"/>
        <w:jc w:val="both"/>
        <w:rPr>
          <w:color w:val="000000"/>
        </w:rPr>
      </w:pPr>
      <w:r>
        <w:rPr>
          <w:color w:val="000000"/>
        </w:rPr>
        <w:t>No eixo da governança, 2025 marcou a superação de um desafio histórico da Companhia: a contratação do Sistema ERP. Após anos de esforços para recomposição dos sistemas corporativos, em especial após os impactos do ataque cibernético sofrido pela CDC, foi concluído o processo licitatório e definida a solução tecnológica adequada às necessidades institucionais. A implantação do novo sistema teve início em novembro de 2025, representando avanço significativo na modernização da gestão, no fortalecimento dos controles internos, na integração de processos e na transparência das informações.</w:t>
      </w:r>
    </w:p>
    <w:p w:rsidR="003073A4" w:rsidRDefault="000545DD">
      <w:pPr>
        <w:spacing w:after="120" w:line="360" w:lineRule="auto"/>
        <w:jc w:val="both"/>
        <w:rPr>
          <w:color w:val="000000"/>
        </w:rPr>
      </w:pPr>
      <w:r>
        <w:rPr>
          <w:color w:val="000000"/>
        </w:rPr>
        <w:t>Os resultados alcançados em 2025 demonstram que a agenda ESG da CDC deixou de ser apenas um compromisso formal e passou a integrar de forma estruturada o modelo de gestão da Companhia, consolidando práticas alinhadas aos padrões contemporâneos de sustentabilidade, governança e responsabilidade institucional.</w:t>
      </w:r>
    </w:p>
    <w:p w:rsidR="00656365" w:rsidRPr="00AE5B3E" w:rsidRDefault="00656365">
      <w:pPr>
        <w:spacing w:after="120" w:line="360" w:lineRule="auto"/>
        <w:jc w:val="both"/>
      </w:pPr>
      <w:r w:rsidRPr="00AE5B3E">
        <w:lastRenderedPageBreak/>
        <w:t>A agenda ESG da Companhia, embora em evolução, ainda enfrenta desafios relevantes, especialmente no que se refere à mensuração de impactos ambientais, à internalização de riscos climáticos e à estruturação de indicadores de governança socioambiental alinhados às melhores práticas internacionais.</w:t>
      </w:r>
    </w:p>
    <w:p w:rsidR="003073A4" w:rsidRDefault="003073A4">
      <w:pPr>
        <w:spacing w:before="63"/>
        <w:ind w:left="222"/>
        <w:jc w:val="center"/>
        <w:rPr>
          <w:color w:val="FF0000"/>
        </w:rPr>
      </w:pPr>
    </w:p>
    <w:p w:rsidR="003073A4" w:rsidRDefault="000545DD">
      <w:pPr>
        <w:numPr>
          <w:ilvl w:val="0"/>
          <w:numId w:val="11"/>
        </w:numPr>
        <w:pBdr>
          <w:top w:val="nil"/>
          <w:left w:val="nil"/>
          <w:bottom w:val="nil"/>
          <w:right w:val="nil"/>
          <w:between w:val="nil"/>
        </w:pBdr>
        <w:spacing w:before="120" w:after="120" w:line="360" w:lineRule="auto"/>
        <w:jc w:val="both"/>
        <w:rPr>
          <w:b/>
          <w:bCs/>
          <w:color w:val="000000"/>
          <w:sz w:val="32"/>
          <w:szCs w:val="32"/>
        </w:rPr>
      </w:pPr>
      <w:r>
        <w:rPr>
          <w:b/>
          <w:bCs/>
          <w:color w:val="000000"/>
          <w:sz w:val="32"/>
          <w:szCs w:val="32"/>
        </w:rPr>
        <w:t>GOVERNANÇA CORPORATIVA</w:t>
      </w: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Atividades desenvolvidas</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Sempre orientadas por nossa missão, as atividades desenvolvidas pela Companhia, envolvendo tanto os seus processos finalísticos quanto os gerenciais e de sustentação, têm como principal finalidade a geração de valor para os clientes e usuários de nossos serviços, os demais intervenientes da comunidade portuária e a sociedade como um todo, conforme síntese presente na Cadeia de Valor da CDC:</w: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Figura 4 – Cadeia de Valor da CDC</w:t>
      </w:r>
    </w:p>
    <w:p w:rsidR="003073A4" w:rsidRDefault="000545DD" w:rsidP="004F739F">
      <w:pPr>
        <w:pBdr>
          <w:top w:val="single" w:sz="4" w:space="1" w:color="auto"/>
          <w:left w:val="single" w:sz="4" w:space="1" w:color="auto"/>
          <w:bottom w:val="single" w:sz="4" w:space="1" w:color="auto"/>
          <w:right w:val="single" w:sz="4" w:space="1" w:color="auto"/>
          <w:between w:val="single" w:sz="4" w:space="1" w:color="auto"/>
          <w:bar w:val="single" w:sz="4" w:color="auto"/>
        </w:pBdr>
        <w:spacing w:before="120" w:after="120" w:line="360" w:lineRule="auto"/>
        <w:ind w:left="426" w:hanging="426"/>
        <w:jc w:val="both"/>
        <w:rPr>
          <w:b/>
          <w:bCs/>
          <w:color w:val="FF0000"/>
          <w:sz w:val="32"/>
          <w:szCs w:val="32"/>
        </w:rPr>
      </w:pPr>
      <w:r>
        <w:rPr>
          <w:b/>
          <w:bCs/>
          <w:noProof/>
          <w:color w:val="FF0000"/>
          <w:sz w:val="32"/>
          <w:szCs w:val="32"/>
        </w:rPr>
        <w:drawing>
          <wp:inline distT="0" distB="0" distL="0" distR="0">
            <wp:extent cx="4363679" cy="230058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363679" cy="2300582"/>
                    </a:xfrm>
                    <a:prstGeom prst="rect">
                      <a:avLst/>
                    </a:prstGeom>
                    <a:ln/>
                  </pic:spPr>
                </pic:pic>
              </a:graphicData>
            </a:graphic>
          </wp:inline>
        </w:drawing>
      </w:r>
    </w:p>
    <w:p w:rsidR="003073A4" w:rsidRDefault="000545DD">
      <w:pPr>
        <w:spacing w:line="219" w:lineRule="auto"/>
        <w:ind w:left="262" w:hanging="262"/>
        <w:rPr>
          <w:color w:val="000000"/>
          <w:sz w:val="18"/>
          <w:szCs w:val="18"/>
        </w:rPr>
      </w:pPr>
      <w:r>
        <w:rPr>
          <w:color w:val="000000"/>
          <w:sz w:val="18"/>
          <w:szCs w:val="18"/>
        </w:rPr>
        <w:t>Fonte: CODPLA - Coordenadoria de Planejamento Estratégico (2026)</w:t>
      </w:r>
    </w:p>
    <w:p w:rsidR="003073A4" w:rsidRDefault="003073A4">
      <w:pPr>
        <w:spacing w:line="219" w:lineRule="auto"/>
        <w:ind w:left="262" w:hanging="262"/>
        <w:rPr>
          <w:color w:val="FF0000"/>
          <w:sz w:val="18"/>
          <w:szCs w:val="18"/>
        </w:rPr>
      </w:pPr>
    </w:p>
    <w:p w:rsidR="003073A4" w:rsidRDefault="000545DD">
      <w:pPr>
        <w:pBdr>
          <w:top w:val="nil"/>
          <w:left w:val="nil"/>
          <w:bottom w:val="nil"/>
          <w:right w:val="nil"/>
          <w:between w:val="nil"/>
        </w:pBdr>
        <w:spacing w:before="120" w:after="120" w:line="360" w:lineRule="auto"/>
        <w:jc w:val="both"/>
        <w:rPr>
          <w:color w:val="000000"/>
        </w:rPr>
      </w:pPr>
      <w:r>
        <w:t>A CDC é uma empresa pública que atua de forma especializada na administração e exploração comercial do Porto de Fortaleza, consolidando-se como importante fator de desenvolvimento para o estado do Ceará e para a região Nordeste. Para isso, valoriza e busca, continuamente, a profissionalização da gestão, o crescimento da economia, o apoio às indústrias e ao comércio, bem como a geração de riquezas, emprego e renda.</w:t>
      </w: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t>Informações societárias e governança corporativa</w:t>
      </w:r>
    </w:p>
    <w:p w:rsidR="003073A4" w:rsidRDefault="003073A4">
      <w:pPr>
        <w:pBdr>
          <w:top w:val="nil"/>
          <w:left w:val="nil"/>
          <w:bottom w:val="nil"/>
          <w:right w:val="nil"/>
          <w:between w:val="nil"/>
        </w:pBdr>
        <w:spacing w:before="120" w:after="120"/>
        <w:ind w:left="709" w:hanging="709"/>
        <w:jc w:val="both"/>
        <w:rPr>
          <w:b/>
          <w:bCs/>
          <w:color w:val="FF0000"/>
          <w:sz w:val="32"/>
          <w:szCs w:val="32"/>
        </w:rPr>
      </w:pPr>
    </w:p>
    <w:p w:rsidR="003073A4" w:rsidRDefault="000545DD">
      <w:pPr>
        <w:spacing w:line="360" w:lineRule="auto"/>
        <w:jc w:val="both"/>
      </w:pPr>
      <w:r>
        <w:t xml:space="preserve">O capital social subscrito e integralizado, está representado por 36.448.641.087 ações, sem valor </w:t>
      </w:r>
      <w:r>
        <w:lastRenderedPageBreak/>
        <w:t>nominal, sendo 26.912.133.216 ordinárias e 9.536.507.871 preferenciais, ambas as espécies nominativas e de classe única e sem opção de compra. O valor do capital social, em 31 de dezembro de 2024, encontra-se assim distribuído:</w: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Tabela 11 – Controle acionário da CDC</w:t>
      </w:r>
    </w:p>
    <w:tbl>
      <w:tblPr>
        <w:tblStyle w:val="ad"/>
        <w:tblW w:w="8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019"/>
        <w:gridCol w:w="1882"/>
        <w:gridCol w:w="2123"/>
      </w:tblGrid>
      <w:tr w:rsidR="003073A4">
        <w:trPr>
          <w:trHeight w:val="458"/>
        </w:trPr>
        <w:tc>
          <w:tcPr>
            <w:tcW w:w="2830" w:type="dxa"/>
            <w:shd w:val="clear" w:color="auto" w:fill="203764"/>
            <w:vAlign w:val="center"/>
          </w:tcPr>
          <w:p w:rsidR="003073A4" w:rsidRDefault="000545DD">
            <w:pPr>
              <w:widowControl/>
              <w:jc w:val="center"/>
              <w:rPr>
                <w:b/>
                <w:bCs/>
                <w:color w:val="FFFFFF"/>
                <w:sz w:val="20"/>
                <w:szCs w:val="20"/>
              </w:rPr>
            </w:pPr>
            <w:r>
              <w:rPr>
                <w:color w:val="FFFFFF"/>
                <w:sz w:val="20"/>
                <w:szCs w:val="20"/>
              </w:rPr>
              <w:t xml:space="preserve"> </w:t>
            </w:r>
            <w:r>
              <w:rPr>
                <w:b/>
                <w:bCs/>
                <w:color w:val="FFFFFF"/>
                <w:sz w:val="20"/>
                <w:szCs w:val="20"/>
              </w:rPr>
              <w:t>ACIONISTAS</w:t>
            </w:r>
          </w:p>
        </w:tc>
        <w:tc>
          <w:tcPr>
            <w:tcW w:w="2019" w:type="dxa"/>
            <w:shd w:val="clear" w:color="auto" w:fill="203764"/>
            <w:vAlign w:val="center"/>
          </w:tcPr>
          <w:p w:rsidR="003073A4" w:rsidRDefault="000545DD">
            <w:pPr>
              <w:widowControl/>
              <w:jc w:val="center"/>
              <w:rPr>
                <w:b/>
                <w:bCs/>
                <w:color w:val="FFFFFF"/>
                <w:sz w:val="20"/>
                <w:szCs w:val="20"/>
              </w:rPr>
            </w:pPr>
            <w:r>
              <w:rPr>
                <w:b/>
                <w:bCs/>
                <w:color w:val="FFFFFF"/>
                <w:sz w:val="20"/>
                <w:szCs w:val="20"/>
              </w:rPr>
              <w:t xml:space="preserve">TOTAL </w:t>
            </w:r>
          </w:p>
        </w:tc>
        <w:tc>
          <w:tcPr>
            <w:tcW w:w="1882" w:type="dxa"/>
            <w:shd w:val="clear" w:color="auto" w:fill="203764"/>
            <w:vAlign w:val="center"/>
          </w:tcPr>
          <w:p w:rsidR="003073A4" w:rsidRDefault="000545DD">
            <w:pPr>
              <w:widowControl/>
              <w:jc w:val="center"/>
              <w:rPr>
                <w:b/>
                <w:bCs/>
                <w:color w:val="FFFFFF"/>
                <w:sz w:val="20"/>
                <w:szCs w:val="20"/>
              </w:rPr>
            </w:pPr>
            <w:r>
              <w:rPr>
                <w:b/>
                <w:bCs/>
                <w:color w:val="FFFFFF"/>
                <w:sz w:val="20"/>
                <w:szCs w:val="20"/>
              </w:rPr>
              <w:t>PERCENTUAL</w:t>
            </w:r>
          </w:p>
        </w:tc>
        <w:tc>
          <w:tcPr>
            <w:tcW w:w="2123" w:type="dxa"/>
            <w:shd w:val="clear" w:color="auto" w:fill="203764"/>
            <w:vAlign w:val="center"/>
          </w:tcPr>
          <w:p w:rsidR="003073A4" w:rsidRDefault="000545DD">
            <w:pPr>
              <w:widowControl/>
              <w:jc w:val="center"/>
              <w:rPr>
                <w:b/>
                <w:bCs/>
                <w:color w:val="FFFFFF"/>
                <w:sz w:val="20"/>
                <w:szCs w:val="20"/>
              </w:rPr>
            </w:pPr>
            <w:r>
              <w:rPr>
                <w:b/>
                <w:bCs/>
                <w:color w:val="FFFFFF"/>
                <w:sz w:val="20"/>
                <w:szCs w:val="20"/>
              </w:rPr>
              <w:t>TOTAL EM R$</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GOVERNO FEDERAL</w:t>
            </w:r>
          </w:p>
        </w:tc>
        <w:tc>
          <w:tcPr>
            <w:tcW w:w="2019" w:type="dxa"/>
            <w:shd w:val="clear" w:color="auto" w:fill="BFBFBF"/>
            <w:vAlign w:val="bottom"/>
          </w:tcPr>
          <w:p w:rsidR="003073A4" w:rsidRDefault="000545DD">
            <w:pPr>
              <w:widowControl/>
              <w:jc w:val="center"/>
              <w:rPr>
                <w:sz w:val="18"/>
                <w:szCs w:val="18"/>
              </w:rPr>
            </w:pPr>
            <w:r>
              <w:rPr>
                <w:sz w:val="18"/>
                <w:szCs w:val="18"/>
              </w:rPr>
              <w:t>36.430.421.136</w:t>
            </w:r>
          </w:p>
        </w:tc>
        <w:tc>
          <w:tcPr>
            <w:tcW w:w="1882" w:type="dxa"/>
            <w:shd w:val="clear" w:color="auto" w:fill="BFBFBF"/>
            <w:vAlign w:val="bottom"/>
          </w:tcPr>
          <w:p w:rsidR="003073A4" w:rsidRDefault="000545DD">
            <w:pPr>
              <w:widowControl/>
              <w:jc w:val="center"/>
              <w:rPr>
                <w:sz w:val="18"/>
                <w:szCs w:val="18"/>
              </w:rPr>
            </w:pPr>
            <w:r>
              <w:rPr>
                <w:sz w:val="18"/>
                <w:szCs w:val="18"/>
              </w:rPr>
              <w:t>99,95%</w:t>
            </w:r>
          </w:p>
        </w:tc>
        <w:tc>
          <w:tcPr>
            <w:tcW w:w="2123" w:type="dxa"/>
            <w:shd w:val="clear" w:color="auto" w:fill="BFBFBF"/>
            <w:vAlign w:val="bottom"/>
          </w:tcPr>
          <w:p w:rsidR="003073A4" w:rsidRDefault="000545DD">
            <w:pPr>
              <w:widowControl/>
              <w:jc w:val="center"/>
              <w:rPr>
                <w:sz w:val="18"/>
                <w:szCs w:val="18"/>
              </w:rPr>
            </w:pPr>
            <w:r>
              <w:rPr>
                <w:sz w:val="18"/>
                <w:szCs w:val="18"/>
              </w:rPr>
              <w:t>333.983.789,02</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GOVERNO ESTADO CEARÁ</w:t>
            </w:r>
          </w:p>
        </w:tc>
        <w:tc>
          <w:tcPr>
            <w:tcW w:w="2019" w:type="dxa"/>
            <w:shd w:val="clear" w:color="auto" w:fill="BFBFBF"/>
            <w:vAlign w:val="bottom"/>
          </w:tcPr>
          <w:p w:rsidR="003073A4" w:rsidRDefault="000545DD">
            <w:pPr>
              <w:widowControl/>
              <w:jc w:val="center"/>
              <w:rPr>
                <w:sz w:val="18"/>
                <w:szCs w:val="18"/>
              </w:rPr>
            </w:pPr>
            <w:r>
              <w:rPr>
                <w:sz w:val="18"/>
                <w:szCs w:val="18"/>
              </w:rPr>
              <w:t>18.204.800</w:t>
            </w:r>
          </w:p>
        </w:tc>
        <w:tc>
          <w:tcPr>
            <w:tcW w:w="1882" w:type="dxa"/>
            <w:shd w:val="clear" w:color="auto" w:fill="BFBFBF"/>
            <w:vAlign w:val="bottom"/>
          </w:tcPr>
          <w:p w:rsidR="003073A4" w:rsidRDefault="000545DD">
            <w:pPr>
              <w:widowControl/>
              <w:jc w:val="center"/>
              <w:rPr>
                <w:sz w:val="18"/>
                <w:szCs w:val="18"/>
              </w:rPr>
            </w:pPr>
            <w:r>
              <w:rPr>
                <w:sz w:val="18"/>
                <w:szCs w:val="18"/>
              </w:rPr>
              <w:t>0,05%</w:t>
            </w:r>
          </w:p>
        </w:tc>
        <w:tc>
          <w:tcPr>
            <w:tcW w:w="2123" w:type="dxa"/>
            <w:shd w:val="clear" w:color="auto" w:fill="BFBFBF"/>
            <w:vAlign w:val="bottom"/>
          </w:tcPr>
          <w:p w:rsidR="003073A4" w:rsidRDefault="000545DD">
            <w:pPr>
              <w:widowControl/>
              <w:jc w:val="center"/>
              <w:rPr>
                <w:sz w:val="18"/>
                <w:szCs w:val="18"/>
              </w:rPr>
            </w:pPr>
            <w:r>
              <w:rPr>
                <w:sz w:val="18"/>
                <w:szCs w:val="18"/>
              </w:rPr>
              <w:t>166.896,47</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PREFEITURA DE FORTALEZA</w:t>
            </w:r>
          </w:p>
        </w:tc>
        <w:tc>
          <w:tcPr>
            <w:tcW w:w="2019" w:type="dxa"/>
            <w:shd w:val="clear" w:color="auto" w:fill="BFBFBF"/>
            <w:vAlign w:val="bottom"/>
          </w:tcPr>
          <w:p w:rsidR="003073A4" w:rsidRDefault="000545DD">
            <w:pPr>
              <w:widowControl/>
              <w:jc w:val="center"/>
              <w:rPr>
                <w:sz w:val="18"/>
                <w:szCs w:val="18"/>
              </w:rPr>
            </w:pPr>
            <w:r>
              <w:rPr>
                <w:sz w:val="18"/>
                <w:szCs w:val="18"/>
              </w:rPr>
              <w:t>2.986</w:t>
            </w:r>
          </w:p>
        </w:tc>
        <w:tc>
          <w:tcPr>
            <w:tcW w:w="1882" w:type="dxa"/>
            <w:shd w:val="clear" w:color="auto" w:fill="BFBFBF"/>
            <w:vAlign w:val="bottom"/>
          </w:tcPr>
          <w:p w:rsidR="003073A4" w:rsidRDefault="000545DD">
            <w:pPr>
              <w:widowControl/>
              <w:jc w:val="center"/>
              <w:rPr>
                <w:sz w:val="18"/>
                <w:szCs w:val="18"/>
              </w:rPr>
            </w:pPr>
            <w:r>
              <w:rPr>
                <w:sz w:val="18"/>
                <w:szCs w:val="18"/>
              </w:rPr>
              <w:t>0,00%</w:t>
            </w:r>
          </w:p>
        </w:tc>
        <w:tc>
          <w:tcPr>
            <w:tcW w:w="2123" w:type="dxa"/>
            <w:shd w:val="clear" w:color="auto" w:fill="BFBFBF"/>
            <w:vAlign w:val="bottom"/>
          </w:tcPr>
          <w:p w:rsidR="003073A4" w:rsidRDefault="000545DD">
            <w:pPr>
              <w:widowControl/>
              <w:jc w:val="center"/>
              <w:rPr>
                <w:sz w:val="18"/>
                <w:szCs w:val="18"/>
              </w:rPr>
            </w:pPr>
            <w:r>
              <w:rPr>
                <w:sz w:val="18"/>
                <w:szCs w:val="18"/>
              </w:rPr>
              <w:t>27,37</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PREFEITURA DE MARANGUAPE</w:t>
            </w:r>
          </w:p>
        </w:tc>
        <w:tc>
          <w:tcPr>
            <w:tcW w:w="2019" w:type="dxa"/>
            <w:shd w:val="clear" w:color="auto" w:fill="BFBFBF"/>
            <w:vAlign w:val="bottom"/>
          </w:tcPr>
          <w:p w:rsidR="003073A4" w:rsidRDefault="000545DD">
            <w:pPr>
              <w:widowControl/>
              <w:jc w:val="center"/>
              <w:rPr>
                <w:sz w:val="18"/>
                <w:szCs w:val="18"/>
              </w:rPr>
            </w:pPr>
            <w:r>
              <w:rPr>
                <w:sz w:val="18"/>
                <w:szCs w:val="18"/>
              </w:rPr>
              <w:t>2.986</w:t>
            </w:r>
          </w:p>
        </w:tc>
        <w:tc>
          <w:tcPr>
            <w:tcW w:w="1882" w:type="dxa"/>
            <w:shd w:val="clear" w:color="auto" w:fill="BFBFBF"/>
            <w:vAlign w:val="bottom"/>
          </w:tcPr>
          <w:p w:rsidR="003073A4" w:rsidRDefault="000545DD">
            <w:pPr>
              <w:widowControl/>
              <w:jc w:val="center"/>
              <w:rPr>
                <w:sz w:val="18"/>
                <w:szCs w:val="18"/>
              </w:rPr>
            </w:pPr>
            <w:r>
              <w:rPr>
                <w:sz w:val="18"/>
                <w:szCs w:val="18"/>
              </w:rPr>
              <w:t>0,00%</w:t>
            </w:r>
          </w:p>
        </w:tc>
        <w:tc>
          <w:tcPr>
            <w:tcW w:w="2123" w:type="dxa"/>
            <w:shd w:val="clear" w:color="auto" w:fill="BFBFBF"/>
            <w:vAlign w:val="bottom"/>
          </w:tcPr>
          <w:p w:rsidR="003073A4" w:rsidRDefault="000545DD">
            <w:pPr>
              <w:widowControl/>
              <w:jc w:val="center"/>
              <w:rPr>
                <w:sz w:val="18"/>
                <w:szCs w:val="18"/>
              </w:rPr>
            </w:pPr>
            <w:r>
              <w:rPr>
                <w:sz w:val="18"/>
                <w:szCs w:val="18"/>
              </w:rPr>
              <w:t>27,37</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PREFEITURA DE CAUCAIA</w:t>
            </w:r>
          </w:p>
        </w:tc>
        <w:tc>
          <w:tcPr>
            <w:tcW w:w="2019" w:type="dxa"/>
            <w:shd w:val="clear" w:color="auto" w:fill="BFBFBF"/>
            <w:vAlign w:val="bottom"/>
          </w:tcPr>
          <w:p w:rsidR="003073A4" w:rsidRDefault="000545DD">
            <w:pPr>
              <w:widowControl/>
              <w:jc w:val="center"/>
              <w:rPr>
                <w:sz w:val="18"/>
                <w:szCs w:val="18"/>
              </w:rPr>
            </w:pPr>
            <w:r>
              <w:rPr>
                <w:sz w:val="18"/>
                <w:szCs w:val="18"/>
              </w:rPr>
              <w:t>2.986</w:t>
            </w:r>
          </w:p>
        </w:tc>
        <w:tc>
          <w:tcPr>
            <w:tcW w:w="1882" w:type="dxa"/>
            <w:shd w:val="clear" w:color="auto" w:fill="BFBFBF"/>
            <w:vAlign w:val="bottom"/>
          </w:tcPr>
          <w:p w:rsidR="003073A4" w:rsidRDefault="000545DD">
            <w:pPr>
              <w:widowControl/>
              <w:jc w:val="center"/>
              <w:rPr>
                <w:sz w:val="18"/>
                <w:szCs w:val="18"/>
              </w:rPr>
            </w:pPr>
            <w:r>
              <w:rPr>
                <w:sz w:val="18"/>
                <w:szCs w:val="18"/>
              </w:rPr>
              <w:t>0,00%</w:t>
            </w:r>
          </w:p>
        </w:tc>
        <w:tc>
          <w:tcPr>
            <w:tcW w:w="2123" w:type="dxa"/>
            <w:shd w:val="clear" w:color="auto" w:fill="BFBFBF"/>
            <w:vAlign w:val="bottom"/>
          </w:tcPr>
          <w:p w:rsidR="003073A4" w:rsidRDefault="000545DD">
            <w:pPr>
              <w:widowControl/>
              <w:jc w:val="center"/>
              <w:rPr>
                <w:sz w:val="18"/>
                <w:szCs w:val="18"/>
              </w:rPr>
            </w:pPr>
            <w:r>
              <w:rPr>
                <w:sz w:val="18"/>
                <w:szCs w:val="18"/>
              </w:rPr>
              <w:t>27,37</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PREFEITURA DE CAMOCIM</w:t>
            </w:r>
          </w:p>
        </w:tc>
        <w:tc>
          <w:tcPr>
            <w:tcW w:w="2019" w:type="dxa"/>
            <w:shd w:val="clear" w:color="auto" w:fill="BFBFBF"/>
            <w:vAlign w:val="bottom"/>
          </w:tcPr>
          <w:p w:rsidR="003073A4" w:rsidRDefault="000545DD">
            <w:pPr>
              <w:widowControl/>
              <w:jc w:val="center"/>
              <w:rPr>
                <w:sz w:val="18"/>
                <w:szCs w:val="18"/>
              </w:rPr>
            </w:pPr>
            <w:r>
              <w:rPr>
                <w:sz w:val="18"/>
                <w:szCs w:val="18"/>
              </w:rPr>
              <w:t>3.207</w:t>
            </w:r>
          </w:p>
        </w:tc>
        <w:tc>
          <w:tcPr>
            <w:tcW w:w="1882" w:type="dxa"/>
            <w:shd w:val="clear" w:color="auto" w:fill="BFBFBF"/>
            <w:vAlign w:val="bottom"/>
          </w:tcPr>
          <w:p w:rsidR="003073A4" w:rsidRDefault="000545DD">
            <w:pPr>
              <w:widowControl/>
              <w:jc w:val="center"/>
              <w:rPr>
                <w:sz w:val="18"/>
                <w:szCs w:val="18"/>
              </w:rPr>
            </w:pPr>
            <w:r>
              <w:rPr>
                <w:sz w:val="18"/>
                <w:szCs w:val="18"/>
              </w:rPr>
              <w:t>0,00%</w:t>
            </w:r>
          </w:p>
        </w:tc>
        <w:tc>
          <w:tcPr>
            <w:tcW w:w="2123" w:type="dxa"/>
            <w:shd w:val="clear" w:color="auto" w:fill="BFBFBF"/>
            <w:vAlign w:val="bottom"/>
          </w:tcPr>
          <w:p w:rsidR="003073A4" w:rsidRDefault="000545DD">
            <w:pPr>
              <w:widowControl/>
              <w:jc w:val="center"/>
              <w:rPr>
                <w:sz w:val="18"/>
                <w:szCs w:val="18"/>
              </w:rPr>
            </w:pPr>
            <w:r>
              <w:rPr>
                <w:sz w:val="18"/>
                <w:szCs w:val="18"/>
              </w:rPr>
              <w:t>29,40</w:t>
            </w:r>
          </w:p>
        </w:tc>
      </w:tr>
      <w:tr w:rsidR="003073A4">
        <w:trPr>
          <w:trHeight w:val="289"/>
        </w:trPr>
        <w:tc>
          <w:tcPr>
            <w:tcW w:w="2830" w:type="dxa"/>
            <w:shd w:val="clear" w:color="auto" w:fill="BFBFBF"/>
            <w:vAlign w:val="bottom"/>
          </w:tcPr>
          <w:p w:rsidR="003073A4" w:rsidRDefault="000545DD">
            <w:pPr>
              <w:widowControl/>
              <w:rPr>
                <w:sz w:val="18"/>
                <w:szCs w:val="18"/>
              </w:rPr>
            </w:pPr>
            <w:r>
              <w:rPr>
                <w:sz w:val="18"/>
                <w:szCs w:val="18"/>
              </w:rPr>
              <w:t>PREFEITURA DE ARACATI</w:t>
            </w:r>
          </w:p>
        </w:tc>
        <w:tc>
          <w:tcPr>
            <w:tcW w:w="2019" w:type="dxa"/>
            <w:shd w:val="clear" w:color="auto" w:fill="BFBFBF"/>
            <w:vAlign w:val="bottom"/>
          </w:tcPr>
          <w:p w:rsidR="003073A4" w:rsidRDefault="000545DD">
            <w:pPr>
              <w:widowControl/>
              <w:jc w:val="center"/>
              <w:rPr>
                <w:sz w:val="18"/>
                <w:szCs w:val="18"/>
              </w:rPr>
            </w:pPr>
            <w:r>
              <w:rPr>
                <w:sz w:val="18"/>
                <w:szCs w:val="18"/>
              </w:rPr>
              <w:t>2.986</w:t>
            </w:r>
          </w:p>
        </w:tc>
        <w:tc>
          <w:tcPr>
            <w:tcW w:w="1882" w:type="dxa"/>
            <w:shd w:val="clear" w:color="auto" w:fill="BFBFBF"/>
            <w:vAlign w:val="bottom"/>
          </w:tcPr>
          <w:p w:rsidR="003073A4" w:rsidRDefault="000545DD">
            <w:pPr>
              <w:widowControl/>
              <w:jc w:val="center"/>
              <w:rPr>
                <w:sz w:val="18"/>
                <w:szCs w:val="18"/>
              </w:rPr>
            </w:pPr>
            <w:r>
              <w:rPr>
                <w:sz w:val="18"/>
                <w:szCs w:val="18"/>
              </w:rPr>
              <w:t>0,00%</w:t>
            </w:r>
          </w:p>
        </w:tc>
        <w:tc>
          <w:tcPr>
            <w:tcW w:w="2123" w:type="dxa"/>
            <w:shd w:val="clear" w:color="auto" w:fill="BFBFBF"/>
            <w:vAlign w:val="bottom"/>
          </w:tcPr>
          <w:p w:rsidR="003073A4" w:rsidRDefault="000545DD">
            <w:pPr>
              <w:widowControl/>
              <w:jc w:val="center"/>
              <w:rPr>
                <w:sz w:val="18"/>
                <w:szCs w:val="18"/>
              </w:rPr>
            </w:pPr>
            <w:r>
              <w:rPr>
                <w:sz w:val="18"/>
                <w:szCs w:val="18"/>
              </w:rPr>
              <w:t>27,37</w:t>
            </w:r>
          </w:p>
        </w:tc>
      </w:tr>
      <w:tr w:rsidR="003073A4">
        <w:trPr>
          <w:trHeight w:val="425"/>
        </w:trPr>
        <w:tc>
          <w:tcPr>
            <w:tcW w:w="2830" w:type="dxa"/>
            <w:shd w:val="clear" w:color="auto" w:fill="BFBFBF"/>
            <w:vAlign w:val="bottom"/>
          </w:tcPr>
          <w:p w:rsidR="003073A4" w:rsidRDefault="000545DD">
            <w:pPr>
              <w:widowControl/>
              <w:rPr>
                <w:b/>
                <w:bCs/>
                <w:sz w:val="18"/>
                <w:szCs w:val="18"/>
              </w:rPr>
            </w:pPr>
            <w:r>
              <w:rPr>
                <w:b/>
                <w:bCs/>
                <w:sz w:val="18"/>
                <w:szCs w:val="18"/>
              </w:rPr>
              <w:t>TOTAL</w:t>
            </w:r>
          </w:p>
        </w:tc>
        <w:tc>
          <w:tcPr>
            <w:tcW w:w="2019" w:type="dxa"/>
            <w:shd w:val="clear" w:color="auto" w:fill="BFBFBF"/>
            <w:vAlign w:val="bottom"/>
          </w:tcPr>
          <w:p w:rsidR="003073A4" w:rsidRDefault="000545DD">
            <w:pPr>
              <w:widowControl/>
              <w:jc w:val="center"/>
              <w:rPr>
                <w:b/>
                <w:bCs/>
                <w:sz w:val="18"/>
                <w:szCs w:val="18"/>
              </w:rPr>
            </w:pPr>
            <w:r>
              <w:rPr>
                <w:b/>
                <w:bCs/>
                <w:sz w:val="18"/>
                <w:szCs w:val="18"/>
              </w:rPr>
              <w:t>36.448.641.087</w:t>
            </w:r>
          </w:p>
        </w:tc>
        <w:tc>
          <w:tcPr>
            <w:tcW w:w="1882" w:type="dxa"/>
            <w:shd w:val="clear" w:color="auto" w:fill="BFBFBF"/>
            <w:vAlign w:val="bottom"/>
          </w:tcPr>
          <w:p w:rsidR="003073A4" w:rsidRDefault="000545DD">
            <w:pPr>
              <w:widowControl/>
              <w:jc w:val="center"/>
              <w:rPr>
                <w:b/>
                <w:bCs/>
                <w:sz w:val="18"/>
                <w:szCs w:val="18"/>
              </w:rPr>
            </w:pPr>
            <w:r>
              <w:rPr>
                <w:b/>
                <w:bCs/>
                <w:sz w:val="18"/>
                <w:szCs w:val="18"/>
              </w:rPr>
              <w:t>100,00%</w:t>
            </w:r>
          </w:p>
        </w:tc>
        <w:tc>
          <w:tcPr>
            <w:tcW w:w="2123" w:type="dxa"/>
            <w:shd w:val="clear" w:color="auto" w:fill="BFBFBF"/>
            <w:vAlign w:val="bottom"/>
          </w:tcPr>
          <w:p w:rsidR="003073A4" w:rsidRDefault="000545DD">
            <w:pPr>
              <w:widowControl/>
              <w:jc w:val="center"/>
              <w:rPr>
                <w:b/>
                <w:bCs/>
                <w:sz w:val="18"/>
                <w:szCs w:val="18"/>
              </w:rPr>
            </w:pPr>
            <w:r>
              <w:rPr>
                <w:b/>
                <w:bCs/>
                <w:sz w:val="18"/>
                <w:szCs w:val="18"/>
              </w:rPr>
              <w:t>334.150.824,37</w:t>
            </w:r>
          </w:p>
        </w:tc>
      </w:tr>
    </w:tbl>
    <w:p w:rsidR="003073A4" w:rsidRDefault="000545DD">
      <w:pPr>
        <w:spacing w:line="219" w:lineRule="auto"/>
        <w:ind w:left="262" w:hanging="262"/>
        <w:rPr>
          <w:color w:val="000000"/>
          <w:sz w:val="18"/>
          <w:szCs w:val="18"/>
        </w:rPr>
      </w:pPr>
      <w:r>
        <w:rPr>
          <w:color w:val="000000"/>
          <w:sz w:val="18"/>
          <w:szCs w:val="18"/>
        </w:rPr>
        <w:t>Fonte: CODFIN - Coordenadoria Financeira (2026)</w:t>
      </w:r>
    </w:p>
    <w:p w:rsidR="003073A4" w:rsidRDefault="003073A4">
      <w:pPr>
        <w:spacing w:after="120" w:line="360" w:lineRule="auto"/>
        <w:jc w:val="both"/>
        <w:rPr>
          <w:rFonts w:ascii="Arial" w:eastAsia="Arial" w:hAnsi="Arial" w:cs="Arial"/>
          <w:color w:val="FF0000"/>
        </w:rPr>
      </w:pPr>
    </w:p>
    <w:p w:rsidR="003073A4" w:rsidRDefault="000545DD">
      <w:pPr>
        <w:spacing w:after="120" w:line="360" w:lineRule="auto"/>
        <w:jc w:val="both"/>
      </w:pPr>
      <w:r>
        <w:t>A estrutura de Governança da CDC dispõe de um sistema que visa o aprimoramento dos processos internos, buscando trazer diretrizes para a efetivação de práticas de governança corporativa que objetivam preservar e otimizar o valor da Companhia, obter melhorias de gestão, administrar conflitos de interesses e avaliar, de forma permanente o propósito da empresa, contribuindo, assim, para o alcance das metas e para a sua sustentabilidade.</w:t>
      </w:r>
    </w:p>
    <w:p w:rsidR="003073A4" w:rsidRDefault="000545DD">
      <w:pPr>
        <w:spacing w:after="120" w:line="360" w:lineRule="auto"/>
        <w:jc w:val="both"/>
      </w:pPr>
      <w:r>
        <w:t>A Governança da CDC passa por um processo constante de aprimoramento, visando tornar os processos mais transparentes, confiáveis e consistentes.</w:t>
      </w:r>
    </w:p>
    <w:p w:rsidR="003073A4" w:rsidRDefault="003073A4">
      <w:pPr>
        <w:rPr>
          <w:color w:val="FF0000"/>
          <w:sz w:val="18"/>
          <w:szCs w:val="18"/>
        </w:rPr>
      </w:pPr>
    </w:p>
    <w:p w:rsidR="003073A4" w:rsidRDefault="000545DD">
      <w:pPr>
        <w:rPr>
          <w:color w:val="000000"/>
          <w:sz w:val="18"/>
          <w:szCs w:val="18"/>
        </w:rPr>
      </w:pPr>
      <w:r>
        <w:rPr>
          <w:color w:val="000000"/>
          <w:sz w:val="18"/>
          <w:szCs w:val="18"/>
        </w:rPr>
        <w:t>Figura 5 - Governança Corporativa</w:t>
      </w:r>
    </w:p>
    <w:p w:rsidR="003073A4" w:rsidRDefault="000545DD">
      <w:pPr>
        <w:pBdr>
          <w:top w:val="single" w:sz="4" w:space="1" w:color="000000"/>
          <w:left w:val="single" w:sz="4" w:space="4" w:color="000000"/>
          <w:bottom w:val="single" w:sz="4" w:space="1" w:color="000000"/>
          <w:right w:val="single" w:sz="4" w:space="0" w:color="000000"/>
          <w:between w:val="single" w:sz="4" w:space="1" w:color="000000"/>
        </w:pBdr>
        <w:rPr>
          <w:color w:val="FF0000"/>
        </w:rPr>
      </w:pPr>
      <w:r>
        <w:rPr>
          <w:noProof/>
          <w:color w:val="FF0000"/>
          <w:u w:val="single"/>
        </w:rPr>
        <w:drawing>
          <wp:inline distT="0" distB="0" distL="0" distR="0">
            <wp:extent cx="4441120" cy="250160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41120" cy="2501607"/>
                    </a:xfrm>
                    <a:prstGeom prst="rect">
                      <a:avLst/>
                    </a:prstGeom>
                    <a:ln/>
                  </pic:spPr>
                </pic:pic>
              </a:graphicData>
            </a:graphic>
          </wp:inline>
        </w:drawing>
      </w:r>
    </w:p>
    <w:p w:rsidR="003073A4" w:rsidRDefault="000545DD">
      <w:pPr>
        <w:spacing w:line="219" w:lineRule="auto"/>
        <w:ind w:left="262" w:hanging="262"/>
        <w:rPr>
          <w:color w:val="000000"/>
          <w:sz w:val="18"/>
          <w:szCs w:val="18"/>
        </w:rPr>
      </w:pPr>
      <w:r>
        <w:rPr>
          <w:color w:val="000000"/>
          <w:sz w:val="18"/>
          <w:szCs w:val="18"/>
        </w:rPr>
        <w:t>Fonte: CODPLA - Coordenadoria de Planejamento Estratégico (2026)</w:t>
      </w:r>
    </w:p>
    <w:p w:rsidR="003073A4" w:rsidRDefault="003073A4">
      <w:pPr>
        <w:pBdr>
          <w:top w:val="nil"/>
          <w:left w:val="nil"/>
          <w:bottom w:val="nil"/>
          <w:right w:val="nil"/>
          <w:between w:val="nil"/>
        </w:pBdr>
        <w:spacing w:before="120" w:after="120" w:line="360" w:lineRule="auto"/>
        <w:ind w:right="195"/>
        <w:jc w:val="both"/>
        <w:rPr>
          <w:color w:val="FF0000"/>
        </w:rPr>
      </w:pPr>
    </w:p>
    <w:p w:rsidR="003073A4" w:rsidRDefault="000545DD">
      <w:pPr>
        <w:numPr>
          <w:ilvl w:val="1"/>
          <w:numId w:val="11"/>
        </w:numPr>
        <w:pBdr>
          <w:top w:val="nil"/>
          <w:left w:val="nil"/>
          <w:bottom w:val="nil"/>
          <w:right w:val="nil"/>
          <w:between w:val="nil"/>
        </w:pBdr>
        <w:spacing w:before="120" w:after="120"/>
        <w:jc w:val="both"/>
        <w:rPr>
          <w:b/>
          <w:bCs/>
          <w:color w:val="000000"/>
          <w:sz w:val="32"/>
          <w:szCs w:val="32"/>
        </w:rPr>
      </w:pPr>
      <w:r>
        <w:rPr>
          <w:b/>
          <w:bCs/>
          <w:color w:val="000000"/>
          <w:sz w:val="32"/>
          <w:szCs w:val="32"/>
        </w:rPr>
        <w:lastRenderedPageBreak/>
        <w:t>Estruturas de controles internos e gerenciamento de riscos</w:t>
      </w:r>
    </w:p>
    <w:p w:rsidR="003073A4" w:rsidRDefault="003073A4">
      <w:pPr>
        <w:pBdr>
          <w:top w:val="nil"/>
          <w:left w:val="nil"/>
          <w:bottom w:val="nil"/>
          <w:right w:val="nil"/>
          <w:between w:val="nil"/>
        </w:pBdr>
        <w:spacing w:before="120" w:after="120"/>
        <w:ind w:left="709" w:hanging="709"/>
        <w:jc w:val="both"/>
        <w:rPr>
          <w:b/>
          <w:bCs/>
          <w:color w:val="FF0000"/>
          <w:sz w:val="32"/>
          <w:szCs w:val="32"/>
        </w:rPr>
      </w:pP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 CDC possui formalizada uma Política de Gestão de Riscos e Controles Internos, aprovada pelo Conselho de Administração da empresa, em 30/08/2021, através da Deliberação CONSAD nº 043/2021 e encontra-se disponível no site da Companhia, através do  link </w:t>
      </w:r>
      <w:hyperlink r:id="rId20">
        <w:r>
          <w:rPr>
            <w:color w:val="000000"/>
          </w:rPr>
          <w:t>http://www.docasdoceara.com.br/governanca-corporativa</w:t>
        </w:r>
      </w:hyperlink>
      <w:r>
        <w:rPr>
          <w:color w:val="000000"/>
        </w:rPr>
        <w:t>.</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A Política de Gestão de Riscos e Controle Interno da Companhia Docas do Ceará tem por propósito fornecer diretrizes e estabelecer uma abordagem comum para gerenciar os riscos enfrentados, com vistas à integração da gestão de riscos ao processo de planejamento estratégico e aos seus desdobramentos, às atividades, aos processos de trabalho e aos projetos em todos os níveis relevantes para a execução da estratégia, para o alcance dos objetivos institucionais e para a melhoria contínua de desempenho da CDC.</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 gestão de riscos da empresa tem por objetivo: </w:t>
      </w:r>
    </w:p>
    <w:p w:rsidR="003073A4" w:rsidRDefault="000545DD">
      <w:pPr>
        <w:numPr>
          <w:ilvl w:val="0"/>
          <w:numId w:val="6"/>
        </w:numPr>
        <w:pBdr>
          <w:top w:val="nil"/>
          <w:left w:val="nil"/>
          <w:bottom w:val="nil"/>
          <w:right w:val="nil"/>
          <w:between w:val="nil"/>
        </w:pBdr>
        <w:spacing w:before="120" w:after="120" w:line="360" w:lineRule="auto"/>
        <w:jc w:val="both"/>
        <w:rPr>
          <w:color w:val="000000"/>
        </w:rPr>
      </w:pPr>
      <w:r>
        <w:rPr>
          <w:color w:val="000000"/>
        </w:rPr>
        <w:t xml:space="preserve">assegurar que os responsáveis pela tomada de decisão, em todos os níveis da CDC, tenham acesso tempestivo a informações suficientes quanto aos riscos aos quais está exposta a instituição; </w:t>
      </w:r>
    </w:p>
    <w:p w:rsidR="003073A4" w:rsidRDefault="000545DD">
      <w:pPr>
        <w:numPr>
          <w:ilvl w:val="0"/>
          <w:numId w:val="6"/>
        </w:numPr>
        <w:pBdr>
          <w:top w:val="nil"/>
          <w:left w:val="nil"/>
          <w:bottom w:val="nil"/>
          <w:right w:val="nil"/>
          <w:between w:val="nil"/>
        </w:pBdr>
        <w:spacing w:before="120" w:after="120" w:line="360" w:lineRule="auto"/>
        <w:jc w:val="both"/>
        <w:rPr>
          <w:color w:val="000000"/>
        </w:rPr>
      </w:pPr>
      <w:r>
        <w:rPr>
          <w:color w:val="000000"/>
        </w:rPr>
        <w:t xml:space="preserve">aumentar a probabilidade de alcance dos objetivos da instituição, reduzindo os riscos a níveis aceitáveis; e </w:t>
      </w:r>
    </w:p>
    <w:p w:rsidR="003073A4" w:rsidRDefault="000545DD">
      <w:pPr>
        <w:numPr>
          <w:ilvl w:val="0"/>
          <w:numId w:val="6"/>
        </w:numPr>
        <w:pBdr>
          <w:top w:val="nil"/>
          <w:left w:val="nil"/>
          <w:bottom w:val="nil"/>
          <w:right w:val="nil"/>
          <w:between w:val="nil"/>
        </w:pBdr>
        <w:spacing w:before="120" w:after="120" w:line="360" w:lineRule="auto"/>
        <w:jc w:val="both"/>
        <w:rPr>
          <w:color w:val="000000"/>
        </w:rPr>
      </w:pPr>
      <w:r>
        <w:rPr>
          <w:color w:val="000000"/>
        </w:rPr>
        <w:t xml:space="preserve">agregar valor à instituição por meio da melhoria dos processos de tomada de decisão e do tratamento adequado dos riscos e dos impactos negativos decorrentes de sua materialização.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No processo de avaliação de riscos, são consideradas as seguintes categorias de riscos: </w:t>
      </w:r>
    </w:p>
    <w:p w:rsidR="003073A4" w:rsidRDefault="000545DD">
      <w:pPr>
        <w:pBdr>
          <w:top w:val="nil"/>
          <w:left w:val="nil"/>
          <w:bottom w:val="nil"/>
          <w:right w:val="nil"/>
          <w:between w:val="nil"/>
        </w:pBdr>
        <w:spacing w:before="120" w:after="120" w:line="360" w:lineRule="auto"/>
        <w:ind w:right="195" w:firstLine="426"/>
        <w:jc w:val="both"/>
        <w:rPr>
          <w:color w:val="000000"/>
        </w:rPr>
      </w:pPr>
      <w:r>
        <w:rPr>
          <w:color w:val="000000"/>
        </w:rPr>
        <w:t xml:space="preserve">1. Risco Estratégico; </w:t>
      </w:r>
    </w:p>
    <w:p w:rsidR="003073A4" w:rsidRDefault="000545DD">
      <w:pPr>
        <w:pBdr>
          <w:top w:val="nil"/>
          <w:left w:val="nil"/>
          <w:bottom w:val="nil"/>
          <w:right w:val="nil"/>
          <w:between w:val="nil"/>
        </w:pBdr>
        <w:spacing w:before="120" w:after="120" w:line="360" w:lineRule="auto"/>
        <w:ind w:right="195" w:firstLine="426"/>
        <w:jc w:val="both"/>
        <w:rPr>
          <w:color w:val="000000"/>
        </w:rPr>
      </w:pPr>
      <w:r>
        <w:rPr>
          <w:color w:val="000000"/>
        </w:rPr>
        <w:t xml:space="preserve">2. Risco de Processos ou Projetos; </w:t>
      </w:r>
    </w:p>
    <w:p w:rsidR="003073A4" w:rsidRDefault="000545DD">
      <w:pPr>
        <w:pBdr>
          <w:top w:val="nil"/>
          <w:left w:val="nil"/>
          <w:bottom w:val="nil"/>
          <w:right w:val="nil"/>
          <w:between w:val="nil"/>
        </w:pBdr>
        <w:spacing w:before="120" w:after="120" w:line="360" w:lineRule="auto"/>
        <w:ind w:right="195" w:firstLine="426"/>
        <w:jc w:val="both"/>
        <w:rPr>
          <w:color w:val="000000"/>
        </w:rPr>
      </w:pPr>
      <w:r>
        <w:rPr>
          <w:color w:val="000000"/>
        </w:rPr>
        <w:t xml:space="preserve">3. Risco de Integridade ou Conformidade. </w:t>
      </w:r>
    </w:p>
    <w:p w:rsidR="003073A4" w:rsidRDefault="000545DD">
      <w:pPr>
        <w:pBdr>
          <w:top w:val="nil"/>
          <w:left w:val="nil"/>
          <w:bottom w:val="nil"/>
          <w:right w:val="nil"/>
          <w:between w:val="nil"/>
        </w:pBdr>
        <w:spacing w:before="120" w:after="120" w:line="360" w:lineRule="auto"/>
        <w:jc w:val="both"/>
        <w:rPr>
          <w:color w:val="000000"/>
        </w:rPr>
      </w:pPr>
      <w:r>
        <w:rPr>
          <w:color w:val="000000"/>
        </w:rPr>
        <w:t>A CDC tem, continuamente, aprimorado suas estruturas e processos de gestão de riscos corporativos, abordando as incertezas e tendo como norte a sua Política de Gestão de Riscos, a qual institui diretrizes, competências e uma linguagem comum para o gerenciamento de riscos corporativos. O ambiente de controles internos vem se aprimorando, além da conformidade às normas, aos requisitos legais e às regulações pertinentes, o que vem, paulatinamente, incorporando-se ao cotidiano da Companhia.</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Companhia vem destinando esforços para aumentar sua maturidade a risco, compreendendo em </w:t>
      </w:r>
      <w:r>
        <w:rPr>
          <w:color w:val="000000"/>
        </w:rPr>
        <w:lastRenderedPageBreak/>
        <w:t>mais detalhes os riscos a que está exposta e tratando-os de acordo com seu apetite, seguindo guias de boas práticas reconhecidas como o COSO ERM (</w:t>
      </w:r>
      <w:r>
        <w:rPr>
          <w:i/>
          <w:iCs/>
          <w:color w:val="000000"/>
        </w:rPr>
        <w:t>“The Comitee of Sponsoring Organizations”</w:t>
      </w:r>
      <w:r>
        <w:rPr>
          <w:color w:val="000000"/>
        </w:rPr>
        <w:t xml:space="preserve"> ou “Comitê das Organizações Patrocinadoras” /  “</w:t>
      </w:r>
      <w:r>
        <w:rPr>
          <w:i/>
          <w:iCs/>
          <w:color w:val="000000"/>
        </w:rPr>
        <w:t xml:space="preserve">Integrating with Strategy and Performance” ou </w:t>
      </w:r>
      <w:r>
        <w:rPr>
          <w:color w:val="000000"/>
        </w:rPr>
        <w:t>Integração com a Estratégia e com a Performance</w:t>
      </w:r>
      <w:r>
        <w:rPr>
          <w:i/>
          <w:iCs/>
          <w:color w:val="000000"/>
        </w:rPr>
        <w:t xml:space="preserve">). </w:t>
      </w:r>
      <w:r>
        <w:rPr>
          <w:color w:val="000000"/>
        </w:rPr>
        <w:t xml:space="preserve"> O COSO é uma organização que visa a avaliação de riscos e a prevenção de fraudes, dentro de empresas.  Para o COSO ERM o principal ponto dentro do </w:t>
      </w:r>
      <w:hyperlink r:id="rId21">
        <w:r>
          <w:rPr>
            <w:color w:val="000000"/>
          </w:rPr>
          <w:t xml:space="preserve">Gerenciamento de Riscos Empresariais </w:t>
        </w:r>
      </w:hyperlink>
      <w:r>
        <w:rPr>
          <w:color w:val="000000"/>
        </w:rPr>
        <w:t> é entender que os riscos podem ser prevenidos.  Seu trabalho se baseia em três setores: gerenciamento de riscos empresariais, controle interno e dissuasão de fraudes, e existe a possibilidade de obter certificações desse comitê.</w:t>
      </w:r>
      <w:r>
        <w:rPr>
          <w:color w:val="000000"/>
          <w:highlight w:val="white"/>
        </w:rPr>
        <w:t> </w:t>
      </w:r>
      <w:r>
        <w:rPr>
          <w:color w:val="000000"/>
        </w:rPr>
        <w:t xml:space="preserve"> Além da Política de Gestão de Riscos e Controles Internos, a gestão de riscos utiliza-se do seu Guia de Gerenciamento de Risco da CDC que consiste em um material referencial de apoio aos gestores da CDC, primeira linha, haja vista serem os responsáveis pelos controles incorporados aos sistemas e processos de trabalho que são executados sob sua responsabilidade.</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CDC possui estruturas e mecanismos de controle para monitorar suas atividades, zelando pela transparência, completude e exatidão das suas informações, além da eficiência operacional e atingimento dos objetivos.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Na temática de riscos de integridade, destaca-se a incorporação de ações de controles no Programa de Integridade da empresa. Algumas destas ações são identificadas no gerenciamento de riscos, e consistem em campanhas relacionadas à integridade, criação de ferramentas de combate à fraude e corrupção, dentre outras medidas. </w:t>
      </w:r>
    </w:p>
    <w:p w:rsidR="003073A4" w:rsidRDefault="000545DD">
      <w:pPr>
        <w:pBdr>
          <w:top w:val="nil"/>
          <w:left w:val="nil"/>
          <w:bottom w:val="nil"/>
          <w:right w:val="nil"/>
          <w:between w:val="nil"/>
        </w:pBdr>
        <w:spacing w:before="120" w:after="120" w:line="360" w:lineRule="auto"/>
        <w:jc w:val="both"/>
        <w:rPr>
          <w:color w:val="000000"/>
        </w:rPr>
      </w:pPr>
      <w:r>
        <w:rPr>
          <w:color w:val="000000"/>
        </w:rPr>
        <w:t>A CDC, em sua gestão da integridade, adota os eixos de integridade previstos no Referencial de Combate à Fraude e Corrupção do Tribunal de Contas da União (TCU), que consistem nos pilares de prevenção, detecção, investigação, correção e monitoramento, onde são estruturadas as ações para o combate dos desvios e as ações previstas no programa também atendem às diretrizes do Sistema de gestão de integridade previstas pela Controladoria Geral da União (CGU) no Guia de Implantação de Programas de Integridade nas Empresas Estatais.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 Programa de Integridade, com suas atualizações, pode ser consultado no site da empresa, através do link </w:t>
      </w:r>
      <w:hyperlink r:id="rId22">
        <w:r>
          <w:rPr>
            <w:color w:val="000000"/>
            <w:u w:val="single"/>
          </w:rPr>
          <w:t>http://www.docasdoceara.com.br/integridade</w:t>
        </w:r>
      </w:hyperlink>
      <w:r>
        <w:rPr>
          <w:color w:val="000000"/>
        </w:rPr>
        <w:t>.</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Já o Código de Conduta e Integridade da empresa, que se encontra disponível através do link </w:t>
      </w:r>
      <w:hyperlink r:id="rId23">
        <w:r>
          <w:rPr>
            <w:color w:val="000000"/>
            <w:u w:val="single"/>
          </w:rPr>
          <w:t>http://www.docasdoceara.com.br/codigo-de-etica</w:t>
        </w:r>
      </w:hyperlink>
      <w:r>
        <w:rPr>
          <w:color w:val="000000"/>
        </w:rPr>
        <w:t xml:space="preserve">, apresenta princípios éticos que consolidam os valores organizacionais e se destina a orientar o comportamento de todos os membros da Companhia e demais grupos de interesse relacionados à empresa, considerando a legislação pertinente e contribuindo para a resolução de eventuais conflitos de interesses.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As fases do processo de gestão de riscos consistem na compreensão do ambiente no qual a CDC </w:t>
      </w:r>
      <w:r>
        <w:rPr>
          <w:color w:val="000000"/>
        </w:rPr>
        <w:lastRenderedPageBreak/>
        <w:t>opera, com o devido alinhamento aos objetivos estratégicos, função da empresa e atendimento à regulação, para, ato seguinte, proceder à identificação de riscos que consiste em encontrar, reconhecer e descrever eventos que possam impedir que a empresa alcance seus objetivos.</w:t>
      </w:r>
    </w:p>
    <w:p w:rsidR="003073A4" w:rsidRDefault="000545DD">
      <w:pPr>
        <w:pBdr>
          <w:top w:val="nil"/>
          <w:left w:val="nil"/>
          <w:bottom w:val="nil"/>
          <w:right w:val="nil"/>
          <w:between w:val="nil"/>
        </w:pBdr>
        <w:spacing w:before="120" w:after="120" w:line="360" w:lineRule="auto"/>
        <w:ind w:right="195"/>
        <w:rPr>
          <w:i/>
          <w:iCs/>
          <w:color w:val="000000"/>
          <w:sz w:val="18"/>
          <w:szCs w:val="18"/>
        </w:rPr>
      </w:pPr>
      <w:r>
        <w:rPr>
          <w:color w:val="000000"/>
          <w:sz w:val="18"/>
          <w:szCs w:val="18"/>
        </w:rPr>
        <w:t>Figura 6 – Processo de Gestão de Riscos</w:t>
      </w:r>
    </w:p>
    <w:p w:rsidR="003073A4" w:rsidRDefault="000545DD">
      <w:pPr>
        <w:pBdr>
          <w:top w:val="single" w:sz="4" w:space="1" w:color="000000"/>
          <w:left w:val="single" w:sz="4" w:space="4" w:color="000000"/>
          <w:bottom w:val="single" w:sz="4" w:space="1" w:color="000000"/>
          <w:right w:val="single" w:sz="4" w:space="4" w:color="000000"/>
          <w:between w:val="single" w:sz="4" w:space="1" w:color="000000"/>
        </w:pBdr>
        <w:spacing w:before="120" w:after="120" w:line="360" w:lineRule="auto"/>
        <w:ind w:right="195"/>
        <w:jc w:val="both"/>
        <w:rPr>
          <w:color w:val="FF0000"/>
        </w:rPr>
      </w:pPr>
      <w:r>
        <w:rPr>
          <w:noProof/>
          <w:color w:val="FF0000"/>
        </w:rPr>
        <mc:AlternateContent>
          <mc:Choice Requires="wpg">
            <w:drawing>
              <wp:inline distT="0" distB="0" distL="0" distR="0">
                <wp:extent cx="5670550" cy="1647824"/>
                <wp:effectExtent l="0" t="0" r="0" b="0"/>
                <wp:docPr id="3" name="Agrupar 3"/>
                <wp:cNvGraphicFramePr/>
                <a:graphic xmlns:a="http://schemas.openxmlformats.org/drawingml/2006/main">
                  <a:graphicData uri="http://schemas.microsoft.com/office/word/2010/wordprocessingGroup">
                    <wpg:wgp>
                      <wpg:cNvGrpSpPr/>
                      <wpg:grpSpPr>
                        <a:xfrm>
                          <a:off x="0" y="0"/>
                          <a:ext cx="5670550" cy="1647824"/>
                          <a:chOff x="2510725" y="2956075"/>
                          <a:chExt cx="5670550" cy="1647850"/>
                        </a:xfrm>
                      </wpg:grpSpPr>
                      <wpg:grpSp>
                        <wpg:cNvPr id="2" name="Agrupar 2"/>
                        <wpg:cNvGrpSpPr/>
                        <wpg:grpSpPr>
                          <a:xfrm>
                            <a:off x="2510725" y="2956088"/>
                            <a:ext cx="5670550" cy="1647824"/>
                            <a:chOff x="2258385" y="2905200"/>
                            <a:chExt cx="6509741" cy="1889770"/>
                          </a:xfrm>
                        </wpg:grpSpPr>
                        <wps:wsp>
                          <wps:cNvPr id="9" name="Retângulo 9"/>
                          <wps:cNvSpPr/>
                          <wps:spPr>
                            <a:xfrm>
                              <a:off x="2258385" y="2905200"/>
                              <a:ext cx="6509725" cy="188975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g:grpSp>
                          <wpg:cNvPr id="12" name="Agrupar 12"/>
                          <wpg:cNvGrpSpPr/>
                          <wpg:grpSpPr>
                            <a:xfrm>
                              <a:off x="2258385" y="2905200"/>
                              <a:ext cx="6509741" cy="1889770"/>
                              <a:chOff x="0" y="0"/>
                              <a:chExt cx="5813719" cy="1699245"/>
                            </a:xfrm>
                          </wpg:grpSpPr>
                          <wps:wsp>
                            <wps:cNvPr id="13" name="Retângulo 13"/>
                            <wps:cNvSpPr/>
                            <wps:spPr>
                              <a:xfrm>
                                <a:off x="0" y="0"/>
                                <a:ext cx="5514975" cy="157320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g:grpSp>
                            <wpg:cNvPr id="14" name="Agrupar 14"/>
                            <wpg:cNvGrpSpPr/>
                            <wpg:grpSpPr>
                              <a:xfrm>
                                <a:off x="571" y="37309"/>
                                <a:ext cx="5813148" cy="1661936"/>
                                <a:chOff x="571" y="37309"/>
                                <a:chExt cx="5813148" cy="1661936"/>
                              </a:xfrm>
                            </wpg:grpSpPr>
                            <wps:wsp>
                              <wps:cNvPr id="15" name="Retângulo 15"/>
                              <wps:cNvSpPr/>
                              <wps:spPr>
                                <a:xfrm>
                                  <a:off x="213263" y="37309"/>
                                  <a:ext cx="5600456" cy="1585615"/>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16" name="Retângulo 16"/>
                              <wps:cNvSpPr/>
                              <wps:spPr>
                                <a:xfrm>
                                  <a:off x="571" y="282653"/>
                                  <a:ext cx="911293" cy="387914"/>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17" name="Elipse 17"/>
                              <wps:cNvSpPr/>
                              <wps:spPr>
                                <a:xfrm>
                                  <a:off x="180308" y="330710"/>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18" name="Elipse 18"/>
                              <wps:cNvSpPr/>
                              <wps:spPr>
                                <a:xfrm>
                                  <a:off x="210965" y="269397"/>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19" name="Elipse 19"/>
                              <wps:cNvSpPr/>
                              <wps:spPr>
                                <a:xfrm>
                                  <a:off x="284541" y="28165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0" name="Elipse 20"/>
                              <wps:cNvSpPr/>
                              <wps:spPr>
                                <a:xfrm>
                                  <a:off x="345854" y="214215"/>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1" name="Elipse 21"/>
                              <wps:cNvSpPr/>
                              <wps:spPr>
                                <a:xfrm>
                                  <a:off x="425561" y="189689"/>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2" name="Elipse 22"/>
                              <wps:cNvSpPr/>
                              <wps:spPr>
                                <a:xfrm>
                                  <a:off x="523662" y="232609"/>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3" name="Elipse 23"/>
                              <wps:cNvSpPr/>
                              <wps:spPr>
                                <a:xfrm>
                                  <a:off x="606057" y="29488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4" name="Elipse 24"/>
                              <wps:cNvSpPr/>
                              <wps:spPr>
                                <a:xfrm>
                                  <a:off x="670814" y="330710"/>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5" name="Elipse 25"/>
                              <wps:cNvSpPr/>
                              <wps:spPr>
                                <a:xfrm>
                                  <a:off x="749767" y="334908"/>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6" name="Elipse 26"/>
                              <wps:cNvSpPr/>
                              <wps:spPr>
                                <a:xfrm>
                                  <a:off x="388773" y="269397"/>
                                  <a:ext cx="112616" cy="112616"/>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7" name="Elipse 27"/>
                              <wps:cNvSpPr/>
                              <wps:spPr>
                                <a:xfrm>
                                  <a:off x="149652" y="502387"/>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8" name="Elipse 28"/>
                              <wps:cNvSpPr/>
                              <wps:spPr>
                                <a:xfrm>
                                  <a:off x="120712" y="572175"/>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29" name="Elipse 29"/>
                              <wps:cNvSpPr/>
                              <wps:spPr>
                                <a:xfrm>
                                  <a:off x="278410" y="606619"/>
                                  <a:ext cx="100103" cy="100103"/>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0" name="Elipse 30"/>
                              <wps:cNvSpPr/>
                              <wps:spPr>
                                <a:xfrm>
                                  <a:off x="407167" y="686326"/>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1" name="Elipse 31"/>
                              <wps:cNvSpPr/>
                              <wps:spPr>
                                <a:xfrm>
                                  <a:off x="431693" y="60661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2" name="Elipse 32"/>
                              <wps:cNvSpPr/>
                              <wps:spPr>
                                <a:xfrm>
                                  <a:off x="493006" y="692458"/>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3" name="Elipse 33"/>
                              <wps:cNvSpPr/>
                              <wps:spPr>
                                <a:xfrm>
                                  <a:off x="548188" y="594357"/>
                                  <a:ext cx="100103" cy="100103"/>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4" name="Elipse 34"/>
                              <wps:cNvSpPr/>
                              <wps:spPr>
                                <a:xfrm>
                                  <a:off x="683077" y="569831"/>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35" name="Divisa 35"/>
                              <wps:cNvSpPr/>
                              <wps:spPr>
                                <a:xfrm>
                                  <a:off x="911865" y="281557"/>
                                  <a:ext cx="202117" cy="385864"/>
                                </a:xfrm>
                                <a:prstGeom prst="chevron">
                                  <a:avLst>
                                    <a:gd name="adj" fmla="val 62310"/>
                                  </a:avLst>
                                </a:prstGeom>
                                <a:solidFill>
                                  <a:srgbClr val="B3CAE7"/>
                                </a:solid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36" name="Retângulo 36"/>
                              <wps:cNvSpPr/>
                              <wps:spPr>
                                <a:xfrm>
                                  <a:off x="1113982" y="281745"/>
                                  <a:ext cx="742670" cy="38586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37" name="Retângulo 37"/>
                              <wps:cNvSpPr/>
                              <wps:spPr>
                                <a:xfrm>
                                  <a:off x="1113982" y="281745"/>
                                  <a:ext cx="742670" cy="385860"/>
                                </a:xfrm>
                                <a:prstGeom prst="rect">
                                  <a:avLst/>
                                </a:prstGeom>
                                <a:noFill/>
                                <a:ln>
                                  <a:noFill/>
                                </a:ln>
                              </wps:spPr>
                              <wps:txbx>
                                <w:txbxContent>
                                  <w:p w:rsidR="0074715F" w:rsidRDefault="0074715F">
                                    <w:pPr>
                                      <w:spacing w:line="215" w:lineRule="auto"/>
                                      <w:jc w:val="center"/>
                                      <w:textDirection w:val="btLr"/>
                                    </w:pPr>
                                    <w:r>
                                      <w:rPr>
                                        <w:b/>
                                        <w:color w:val="000000"/>
                                        <w:sz w:val="16"/>
                                      </w:rPr>
                                      <w:t>Compreensão do ambiente</w:t>
                                    </w:r>
                                  </w:p>
                                </w:txbxContent>
                              </wps:txbx>
                              <wps:bodyPr spcFirstLastPara="1" wrap="square" lIns="10150" tIns="10150" rIns="10150" bIns="10150" anchor="ctr" anchorCtr="0">
                                <a:noAutofit/>
                              </wps:bodyPr>
                            </wps:wsp>
                            <wps:wsp>
                              <wps:cNvPr id="38" name="Retângulo 38"/>
                              <wps:cNvSpPr/>
                              <wps:spPr>
                                <a:xfrm>
                                  <a:off x="1135778" y="788614"/>
                                  <a:ext cx="699079" cy="679036"/>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39" name="Retângulo 39"/>
                              <wps:cNvSpPr/>
                              <wps:spPr>
                                <a:xfrm>
                                  <a:off x="1135778" y="788383"/>
                                  <a:ext cx="699079" cy="910862"/>
                                </a:xfrm>
                                <a:prstGeom prst="rect">
                                  <a:avLst/>
                                </a:prstGeom>
                                <a:noFill/>
                                <a:ln>
                                  <a:noFill/>
                                </a:ln>
                              </wps:spPr>
                              <wps:txbx>
                                <w:txbxContent>
                                  <w:p w:rsidR="0074715F" w:rsidRDefault="0074715F">
                                    <w:pPr>
                                      <w:spacing w:line="215" w:lineRule="auto"/>
                                      <w:jc w:val="center"/>
                                      <w:textDirection w:val="btLr"/>
                                    </w:pPr>
                                    <w:r>
                                      <w:rPr>
                                        <w:color w:val="000000"/>
                                        <w:sz w:val="16"/>
                                      </w:rPr>
                                      <w:t>Alinhamento ao planejamento estratégico;             Função da empresa;                 Atendimento à regulação</w:t>
                                    </w:r>
                                  </w:p>
                                </w:txbxContent>
                              </wps:txbx>
                              <wps:bodyPr spcFirstLastPara="1" wrap="square" lIns="10150" tIns="10150" rIns="10150" bIns="10150" anchor="ctr" anchorCtr="0">
                                <a:noAutofit/>
                              </wps:bodyPr>
                            </wps:wsp>
                            <wps:wsp>
                              <wps:cNvPr id="40" name="Divisa 40"/>
                              <wps:cNvSpPr/>
                              <wps:spPr>
                                <a:xfrm>
                                  <a:off x="1856653" y="281557"/>
                                  <a:ext cx="202117" cy="385864"/>
                                </a:xfrm>
                                <a:prstGeom prst="chevron">
                                  <a:avLst>
                                    <a:gd name="adj" fmla="val 62310"/>
                                  </a:avLst>
                                </a:prstGeom>
                                <a:solidFill>
                                  <a:srgbClr val="B3CAE7"/>
                                </a:solid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1" name="Retângulo 41"/>
                              <wps:cNvSpPr/>
                              <wps:spPr>
                                <a:xfrm>
                                  <a:off x="2110674" y="281745"/>
                                  <a:ext cx="690149" cy="38586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2" name="Retângulo 42"/>
                              <wps:cNvSpPr/>
                              <wps:spPr>
                                <a:xfrm>
                                  <a:off x="2110674" y="281745"/>
                                  <a:ext cx="690149" cy="385860"/>
                                </a:xfrm>
                                <a:prstGeom prst="rect">
                                  <a:avLst/>
                                </a:prstGeom>
                                <a:noFill/>
                                <a:ln>
                                  <a:noFill/>
                                </a:ln>
                              </wps:spPr>
                              <wps:txbx>
                                <w:txbxContent>
                                  <w:p w:rsidR="0074715F" w:rsidRDefault="0074715F">
                                    <w:pPr>
                                      <w:spacing w:line="215" w:lineRule="auto"/>
                                      <w:jc w:val="center"/>
                                      <w:textDirection w:val="btLr"/>
                                    </w:pPr>
                                    <w:r>
                                      <w:rPr>
                                        <w:b/>
                                        <w:color w:val="000000"/>
                                        <w:sz w:val="16"/>
                                      </w:rPr>
                                      <w:t xml:space="preserve">Identificação de Riscos </w:t>
                                    </w:r>
                                  </w:p>
                                </w:txbxContent>
                              </wps:txbx>
                              <wps:bodyPr spcFirstLastPara="1" wrap="square" lIns="10150" tIns="10150" rIns="10150" bIns="10150" anchor="ctr" anchorCtr="0">
                                <a:noAutofit/>
                              </wps:bodyPr>
                            </wps:wsp>
                            <wps:wsp>
                              <wps:cNvPr id="43" name="Retângulo 43"/>
                              <wps:cNvSpPr/>
                              <wps:spPr>
                                <a:xfrm>
                                  <a:off x="2058770" y="915382"/>
                                  <a:ext cx="793957" cy="488145"/>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4" name="Retângulo 44"/>
                              <wps:cNvSpPr/>
                              <wps:spPr>
                                <a:xfrm>
                                  <a:off x="2058770" y="706696"/>
                                  <a:ext cx="793957" cy="760929"/>
                                </a:xfrm>
                                <a:prstGeom prst="rect">
                                  <a:avLst/>
                                </a:prstGeom>
                                <a:noFill/>
                                <a:ln>
                                  <a:noFill/>
                                </a:ln>
                              </wps:spPr>
                              <wps:txbx>
                                <w:txbxContent>
                                  <w:p w:rsidR="0074715F" w:rsidRDefault="0074715F">
                                    <w:pPr>
                                      <w:spacing w:line="215" w:lineRule="auto"/>
                                      <w:jc w:val="center"/>
                                      <w:textDirection w:val="btLr"/>
                                    </w:pPr>
                                    <w:r>
                                      <w:rPr>
                                        <w:color w:val="000000"/>
                                        <w:sz w:val="16"/>
                                      </w:rPr>
                                      <w:t>Encontrar e reconhecer riscos;     Descrever eventos (causas e consequências)</w:t>
                                    </w:r>
                                  </w:p>
                                </w:txbxContent>
                              </wps:txbx>
                              <wps:bodyPr spcFirstLastPara="1" wrap="square" lIns="10150" tIns="10150" rIns="10150" bIns="10150" anchor="ctr" anchorCtr="0">
                                <a:noAutofit/>
                              </wps:bodyPr>
                            </wps:wsp>
                            <wps:wsp>
                              <wps:cNvPr id="45" name="Divisa 45"/>
                              <wps:cNvSpPr/>
                              <wps:spPr>
                                <a:xfrm>
                                  <a:off x="2852728" y="281557"/>
                                  <a:ext cx="202117" cy="385864"/>
                                </a:xfrm>
                                <a:prstGeom prst="chevron">
                                  <a:avLst>
                                    <a:gd name="adj" fmla="val 62310"/>
                                  </a:avLst>
                                </a:prstGeom>
                                <a:solidFill>
                                  <a:srgbClr val="B3CAE7"/>
                                </a:solid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6" name="Retângulo 46"/>
                              <wps:cNvSpPr/>
                              <wps:spPr>
                                <a:xfrm>
                                  <a:off x="3054845" y="281745"/>
                                  <a:ext cx="551229" cy="38586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7" name="Retângulo 47"/>
                              <wps:cNvSpPr/>
                              <wps:spPr>
                                <a:xfrm>
                                  <a:off x="3054845" y="281745"/>
                                  <a:ext cx="551229" cy="385860"/>
                                </a:xfrm>
                                <a:prstGeom prst="rect">
                                  <a:avLst/>
                                </a:prstGeom>
                                <a:noFill/>
                                <a:ln>
                                  <a:noFill/>
                                </a:ln>
                              </wps:spPr>
                              <wps:txbx>
                                <w:txbxContent>
                                  <w:p w:rsidR="0074715F" w:rsidRDefault="0074715F">
                                    <w:pPr>
                                      <w:spacing w:line="215" w:lineRule="auto"/>
                                      <w:jc w:val="center"/>
                                      <w:textDirection w:val="btLr"/>
                                    </w:pPr>
                                    <w:r>
                                      <w:rPr>
                                        <w:b/>
                                        <w:color w:val="000000"/>
                                        <w:sz w:val="16"/>
                                      </w:rPr>
                                      <w:t>Análise de Riscos</w:t>
                                    </w:r>
                                  </w:p>
                                </w:txbxContent>
                              </wps:txbx>
                              <wps:bodyPr spcFirstLastPara="1" wrap="square" lIns="10150" tIns="10150" rIns="10150" bIns="10150" anchor="ctr" anchorCtr="0">
                                <a:noAutofit/>
                              </wps:bodyPr>
                            </wps:wsp>
                            <wps:wsp>
                              <wps:cNvPr id="48" name="Retângulo 48"/>
                              <wps:cNvSpPr/>
                              <wps:spPr>
                                <a:xfrm>
                                  <a:off x="3054845" y="768480"/>
                                  <a:ext cx="551229" cy="339924"/>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49" name="Retângulo 49"/>
                              <wps:cNvSpPr/>
                              <wps:spPr>
                                <a:xfrm>
                                  <a:off x="3054845" y="768480"/>
                                  <a:ext cx="551229" cy="339924"/>
                                </a:xfrm>
                                <a:prstGeom prst="rect">
                                  <a:avLst/>
                                </a:prstGeom>
                                <a:noFill/>
                                <a:ln>
                                  <a:noFill/>
                                </a:ln>
                              </wps:spPr>
                              <wps:txbx>
                                <w:txbxContent>
                                  <w:p w:rsidR="0074715F" w:rsidRDefault="0074715F">
                                    <w:pPr>
                                      <w:spacing w:line="215" w:lineRule="auto"/>
                                      <w:jc w:val="center"/>
                                      <w:textDirection w:val="btLr"/>
                                    </w:pPr>
                                    <w:r>
                                      <w:rPr>
                                        <w:color w:val="000000"/>
                                        <w:sz w:val="16"/>
                                      </w:rPr>
                                      <w:t>Criticidade</w:t>
                                    </w:r>
                                  </w:p>
                                </w:txbxContent>
                              </wps:txbx>
                              <wps:bodyPr spcFirstLastPara="1" wrap="square" lIns="10150" tIns="10150" rIns="10150" bIns="10150" anchor="ctr" anchorCtr="0">
                                <a:noAutofit/>
                              </wps:bodyPr>
                            </wps:wsp>
                            <wps:wsp>
                              <wps:cNvPr id="50" name="Divisa 50"/>
                              <wps:cNvSpPr/>
                              <wps:spPr>
                                <a:xfrm>
                                  <a:off x="3606074" y="281557"/>
                                  <a:ext cx="202117" cy="385864"/>
                                </a:xfrm>
                                <a:prstGeom prst="chevron">
                                  <a:avLst>
                                    <a:gd name="adj" fmla="val 62310"/>
                                  </a:avLst>
                                </a:prstGeom>
                                <a:solidFill>
                                  <a:srgbClr val="B3CAE7"/>
                                </a:solid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51" name="Retângulo 51"/>
                              <wps:cNvSpPr/>
                              <wps:spPr>
                                <a:xfrm>
                                  <a:off x="3808191" y="281745"/>
                                  <a:ext cx="551229" cy="38586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52" name="Retângulo 52"/>
                              <wps:cNvSpPr/>
                              <wps:spPr>
                                <a:xfrm>
                                  <a:off x="3808191" y="281745"/>
                                  <a:ext cx="551229" cy="385860"/>
                                </a:xfrm>
                                <a:prstGeom prst="rect">
                                  <a:avLst/>
                                </a:prstGeom>
                                <a:noFill/>
                                <a:ln>
                                  <a:noFill/>
                                </a:ln>
                              </wps:spPr>
                              <wps:txbx>
                                <w:txbxContent>
                                  <w:p w:rsidR="0074715F" w:rsidRDefault="0074715F">
                                    <w:pPr>
                                      <w:spacing w:line="215" w:lineRule="auto"/>
                                      <w:jc w:val="center"/>
                                      <w:textDirection w:val="btLr"/>
                                    </w:pPr>
                                    <w:r>
                                      <w:rPr>
                                        <w:b/>
                                        <w:color w:val="000000"/>
                                        <w:sz w:val="16"/>
                                      </w:rPr>
                                      <w:t>Tratamento</w:t>
                                    </w:r>
                                  </w:p>
                                </w:txbxContent>
                              </wps:txbx>
                              <wps:bodyPr spcFirstLastPara="1" wrap="square" lIns="10150" tIns="10150" rIns="10150" bIns="10150" anchor="ctr" anchorCtr="0">
                                <a:noAutofit/>
                              </wps:bodyPr>
                            </wps:wsp>
                            <wps:wsp>
                              <wps:cNvPr id="53" name="Retângulo 53"/>
                              <wps:cNvSpPr/>
                              <wps:spPr>
                                <a:xfrm>
                                  <a:off x="3808191" y="768480"/>
                                  <a:ext cx="551229" cy="339924"/>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54" name="Retângulo 54"/>
                              <wps:cNvSpPr/>
                              <wps:spPr>
                                <a:xfrm>
                                  <a:off x="3808191" y="768480"/>
                                  <a:ext cx="551229" cy="339924"/>
                                </a:xfrm>
                                <a:prstGeom prst="rect">
                                  <a:avLst/>
                                </a:prstGeom>
                                <a:noFill/>
                                <a:ln>
                                  <a:noFill/>
                                </a:ln>
                              </wps:spPr>
                              <wps:txbx>
                                <w:txbxContent>
                                  <w:p w:rsidR="0074715F" w:rsidRDefault="0074715F">
                                    <w:pPr>
                                      <w:spacing w:line="215" w:lineRule="auto"/>
                                      <w:jc w:val="center"/>
                                      <w:textDirection w:val="btLr"/>
                                    </w:pPr>
                                    <w:r>
                                      <w:rPr>
                                        <w:color w:val="000000"/>
                                        <w:sz w:val="16"/>
                                      </w:rPr>
                                      <w:t>Controles</w:t>
                                    </w:r>
                                  </w:p>
                                </w:txbxContent>
                              </wps:txbx>
                              <wps:bodyPr spcFirstLastPara="1" wrap="square" lIns="10150" tIns="10150" rIns="10150" bIns="10150" anchor="ctr" anchorCtr="0">
                                <a:noAutofit/>
                              </wps:bodyPr>
                            </wps:wsp>
                            <wps:wsp>
                              <wps:cNvPr id="55" name="Divisa 55"/>
                              <wps:cNvSpPr/>
                              <wps:spPr>
                                <a:xfrm>
                                  <a:off x="4359421" y="281557"/>
                                  <a:ext cx="202117" cy="385864"/>
                                </a:xfrm>
                                <a:prstGeom prst="chevron">
                                  <a:avLst>
                                    <a:gd name="adj" fmla="val 62310"/>
                                  </a:avLst>
                                </a:prstGeom>
                                <a:solidFill>
                                  <a:srgbClr val="B3CAE7"/>
                                </a:solidFill>
                                <a:ln>
                                  <a:noFill/>
                                </a:ln>
                              </wps:spPr>
                              <wps:txbx>
                                <w:txbxContent>
                                  <w:p w:rsidR="0074715F" w:rsidRDefault="0074715F">
                                    <w:pPr>
                                      <w:textDirection w:val="btLr"/>
                                    </w:pPr>
                                  </w:p>
                                </w:txbxContent>
                              </wps:txbx>
                              <wps:bodyPr spcFirstLastPara="1" wrap="square" lIns="91425" tIns="91425" rIns="91425" bIns="91425" anchor="ctr" anchorCtr="0">
                                <a:noAutofit/>
                              </wps:bodyPr>
                            </wps:wsp>
                            <wps:wsp>
                              <wps:cNvPr id="56" name="Elipse 56"/>
                              <wps:cNvSpPr/>
                              <wps:spPr>
                                <a:xfrm>
                                  <a:off x="4561538" y="249669"/>
                                  <a:ext cx="952865" cy="468544"/>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57" name="Retângulo 57"/>
                              <wps:cNvSpPr/>
                              <wps:spPr>
                                <a:xfrm>
                                  <a:off x="4700195" y="318125"/>
                                  <a:ext cx="827069" cy="331310"/>
                                </a:xfrm>
                                <a:prstGeom prst="rect">
                                  <a:avLst/>
                                </a:prstGeom>
                                <a:noFill/>
                                <a:ln>
                                  <a:noFill/>
                                </a:ln>
                              </wps:spPr>
                              <wps:txbx>
                                <w:txbxContent>
                                  <w:p w:rsidR="0074715F" w:rsidRDefault="0074715F">
                                    <w:pPr>
                                      <w:spacing w:line="215" w:lineRule="auto"/>
                                      <w:jc w:val="center"/>
                                      <w:textDirection w:val="btLr"/>
                                    </w:pPr>
                                    <w:r>
                                      <w:rPr>
                                        <w:b/>
                                        <w:color w:val="000000"/>
                                        <w:sz w:val="18"/>
                                      </w:rPr>
                                      <w:t>Monitoramento Relato</w:t>
                                    </w:r>
                                  </w:p>
                                </w:txbxContent>
                              </wps:txbx>
                              <wps:bodyPr spcFirstLastPara="1" wrap="square" lIns="0" tIns="0" rIns="0" bIns="0" anchor="ctr" anchorCtr="0">
                                <a:noAutofit/>
                              </wps:bodyPr>
                            </wps:wsp>
                            <wps:wsp>
                              <wps:cNvPr id="58" name="Retângulo 58"/>
                              <wps:cNvSpPr/>
                              <wps:spPr>
                                <a:xfrm>
                                  <a:off x="571" y="282653"/>
                                  <a:ext cx="911293" cy="387914"/>
                                </a:xfrm>
                                <a:prstGeom prst="rect">
                                  <a:avLst/>
                                </a:prstGeom>
                                <a:noFill/>
                                <a:ln>
                                  <a:noFill/>
                                </a:ln>
                              </wps:spPr>
                              <wps:txbx>
                                <w:txbxContent>
                                  <w:p w:rsidR="0074715F" w:rsidRDefault="0074715F">
                                    <w:pPr>
                                      <w:spacing w:line="215" w:lineRule="auto"/>
                                      <w:jc w:val="center"/>
                                      <w:textDirection w:val="btLr"/>
                                    </w:pPr>
                                    <w:r>
                                      <w:rPr>
                                        <w:b/>
                                        <w:color w:val="000000"/>
                                        <w:sz w:val="18"/>
                                      </w:rPr>
                                      <w:t>GERENCIAMENTO DE RISCOS</w:t>
                                    </w:r>
                                  </w:p>
                                </w:txbxContent>
                              </wps:txbx>
                              <wps:bodyPr spcFirstLastPara="1" wrap="square" lIns="11425" tIns="11425" rIns="11425" bIns="11425" anchor="ctr" anchorCtr="0">
                                <a:noAutofit/>
                              </wps:bodyPr>
                            </wps:wsp>
                          </wpg:grpSp>
                        </wpg:grpSp>
                      </wpg:grpSp>
                    </wpg:wgp>
                  </a:graphicData>
                </a:graphic>
              </wp:inline>
            </w:drawing>
          </mc:Choice>
          <mc:Fallback>
            <w:pict>
              <v:group id="Agrupar 3" o:spid="_x0000_s1026" style="width:446.5pt;height:129.75pt;mso-position-horizontal-relative:char;mso-position-vertical-relative:line" coordorigin="25107,29560" coordsize="56705,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">
                <v:group id="Agrupar 2" o:spid="_x0000_s1027" style="position:absolute;left:25107;top:29560;width:56705;height:16479" coordorigin="22583,29052" coordsize="65097,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ângulo 9" o:spid="_x0000_s1028" style="position:absolute;left:22583;top:29052;width:65098;height:1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74715F" w:rsidRDefault="0074715F">
                          <w:pPr>
                            <w:textDirection w:val="btLr"/>
                          </w:pPr>
                        </w:p>
                      </w:txbxContent>
                    </v:textbox>
                  </v:rect>
                  <v:group id="Agrupar 12" o:spid="_x0000_s1029" style="position:absolute;left:22583;top:29052;width:65098;height:18897" coordsize="58137,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tângulo 13" o:spid="_x0000_s1030" style="position:absolute;width:55149;height:1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74715F" w:rsidRDefault="0074715F">
                            <w:pPr>
                              <w:textDirection w:val="btLr"/>
                            </w:pPr>
                          </w:p>
                        </w:txbxContent>
                      </v:textbox>
                    </v:rect>
                    <v:group id="Agrupar 14" o:spid="_x0000_s1031" style="position:absolute;left:5;top:373;width:58132;height:16619" coordorigin="5,373" coordsize="58131,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tângulo 15" o:spid="_x0000_s1032" style="position:absolute;left:2132;top:373;width:56005;height:1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74715F" w:rsidRDefault="0074715F">
                              <w:pPr>
                                <w:textDirection w:val="btLr"/>
                              </w:pPr>
                            </w:p>
                          </w:txbxContent>
                        </v:textbox>
                      </v:rect>
                      <v:rect id="Retângulo 16" o:spid="_x0000_s1033" style="position:absolute;left:5;top:2826;width:9113;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74715F" w:rsidRDefault="0074715F">
                              <w:pPr>
                                <w:textDirection w:val="btLr"/>
                              </w:pPr>
                            </w:p>
                          </w:txbxContent>
                        </v:textbox>
                      </v:rect>
                      <v:oval id="Elipse 17" o:spid="_x0000_s1034" style="position:absolute;left:1803;top:3307;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18" o:spid="_x0000_s1035" style="position:absolute;left:2109;top:269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19" o:spid="_x0000_s1036" style="position:absolute;left:2845;top:2816;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0" o:spid="_x0000_s1037" style="position:absolute;left:3458;top:2142;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1" o:spid="_x0000_s1038" style="position:absolute;left:4255;top:1896;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2" o:spid="_x0000_s1039" style="position:absolute;left:5236;top:2326;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3" o:spid="_x0000_s1040" style="position:absolute;left:6060;top:2948;width:688;height: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4" o:spid="_x0000_s1041" style="position:absolute;left:6708;top:3307;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5" o:spid="_x0000_s1042" style="position:absolute;left:7497;top:3349;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6" o:spid="_x0000_s1043" style="position:absolute;left:3887;top:2693;width:1126;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7" o:spid="_x0000_s1044" style="position:absolute;left:1496;top:502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8" o:spid="_x0000_s1045" style="position:absolute;left:1207;top:5721;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29" o:spid="_x0000_s1046" style="position:absolute;left:2784;top:6066;width:1001;height: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30" o:spid="_x0000_s1047" style="position:absolute;left:4071;top:686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31" o:spid="_x0000_s1048" style="position:absolute;left:4316;top:6066;width:689;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32" o:spid="_x0000_s1049" style="position:absolute;left:4930;top:6924;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33" o:spid="_x0000_s1050" style="position:absolute;left:5481;top:5943;width:1001;height: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oval id="Elipse 34" o:spid="_x0000_s1051" style="position:absolute;left:6830;top:5698;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35" o:spid="_x0000_s1052" type="#_x0000_t55" style="position:absolute;left:9118;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" adj="8141" fillcolor="#b3cae7" stroked="f">
                        <v:textbox inset="2.53958mm,2.53958mm,2.53958mm,2.53958mm">
                          <w:txbxContent>
                            <w:p w:rsidR="0074715F" w:rsidRDefault="0074715F">
                              <w:pPr>
                                <w:textDirection w:val="btLr"/>
                              </w:pPr>
                            </w:p>
                          </w:txbxContent>
                        </v:textbox>
                      </v:shape>
                      <v:rect id="Retângulo 36" o:spid="_x0000_s1053" style="position:absolute;left:11139;top:2817;width:7427;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rsidR="0074715F" w:rsidRDefault="0074715F">
                              <w:pPr>
                                <w:textDirection w:val="btLr"/>
                              </w:pPr>
                            </w:p>
                          </w:txbxContent>
                        </v:textbox>
                      </v:rect>
                      <v:rect id="Retângulo 37" o:spid="_x0000_s1054" style="position:absolute;left:11139;top:2817;width:7427;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" filled="f" stroked="f">
                        <v:textbox inset=".28194mm,.28194mm,.28194mm,.28194mm">
                          <w:txbxContent>
                            <w:p w:rsidR="0074715F" w:rsidRDefault="0074715F">
                              <w:pPr>
                                <w:spacing w:line="215" w:lineRule="auto"/>
                                <w:jc w:val="center"/>
                                <w:textDirection w:val="btLr"/>
                              </w:pPr>
                              <w:r>
                                <w:rPr>
                                  <w:b/>
                                  <w:color w:val="000000"/>
                                  <w:sz w:val="16"/>
                                </w:rPr>
                                <w:t>Compreensão do ambiente</w:t>
                              </w:r>
                            </w:p>
                          </w:txbxContent>
                        </v:textbox>
                      </v:rect>
                      <v:rect id="Retângulo 38" o:spid="_x0000_s1055" style="position:absolute;left:11357;top:7886;width:6991;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74715F" w:rsidRDefault="0074715F">
                              <w:pPr>
                                <w:textDirection w:val="btLr"/>
                              </w:pPr>
                            </w:p>
                          </w:txbxContent>
                        </v:textbox>
                      </v:rect>
                      <v:rect id="Retângulo 39" o:spid="_x0000_s1056" style="position:absolute;left:11357;top:7883;width:6991;height:9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" filled="f" stroked="f">
                        <v:textbox inset=".28194mm,.28194mm,.28194mm,.28194mm">
                          <w:txbxContent>
                            <w:p w:rsidR="0074715F" w:rsidRDefault="0074715F">
                              <w:pPr>
                                <w:spacing w:line="215" w:lineRule="auto"/>
                                <w:jc w:val="center"/>
                                <w:textDirection w:val="btLr"/>
                              </w:pPr>
                              <w:r>
                                <w:rPr>
                                  <w:color w:val="000000"/>
                                  <w:sz w:val="16"/>
                                </w:rPr>
                                <w:t>Alinhamento ao planejamento estratégico;             Função da empresa;                 Atendimento à regulação</w:t>
                              </w:r>
                            </w:p>
                          </w:txbxContent>
                        </v:textbox>
                      </v:rect>
                      <v:shape id="Divisa 40" o:spid="_x0000_s1057" type="#_x0000_t55" style="position:absolute;left:18566;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" adj="8141" fillcolor="#b3cae7" stroked="f">
                        <v:textbox inset="2.53958mm,2.53958mm,2.53958mm,2.53958mm">
                          <w:txbxContent>
                            <w:p w:rsidR="0074715F" w:rsidRDefault="0074715F">
                              <w:pPr>
                                <w:textDirection w:val="btLr"/>
                              </w:pPr>
                            </w:p>
                          </w:txbxContent>
                        </v:textbox>
                      </v:shape>
                      <v:rect id="Retângulo 41" o:spid="_x0000_s1058" style="position:absolute;left:21106;top:2817;width:690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74715F" w:rsidRDefault="0074715F">
                              <w:pPr>
                                <w:textDirection w:val="btLr"/>
                              </w:pPr>
                            </w:p>
                          </w:txbxContent>
                        </v:textbox>
                      </v:rect>
                      <v:rect id="Retângulo 42" o:spid="_x0000_s1059" style="position:absolute;left:21106;top:2817;width:690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" filled="f" stroked="f">
                        <v:textbox inset=".28194mm,.28194mm,.28194mm,.28194mm">
                          <w:txbxContent>
                            <w:p w:rsidR="0074715F" w:rsidRDefault="0074715F">
                              <w:pPr>
                                <w:spacing w:line="215" w:lineRule="auto"/>
                                <w:jc w:val="center"/>
                                <w:textDirection w:val="btLr"/>
                              </w:pPr>
                              <w:r>
                                <w:rPr>
                                  <w:b/>
                                  <w:color w:val="000000"/>
                                  <w:sz w:val="16"/>
                                </w:rPr>
                                <w:t xml:space="preserve">Identificação de Riscos </w:t>
                              </w:r>
                            </w:p>
                          </w:txbxContent>
                        </v:textbox>
                      </v:rect>
                      <v:rect id="Retângulo 43" o:spid="_x0000_s1060" style="position:absolute;left:20587;top:9153;width:7940;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74715F" w:rsidRDefault="0074715F">
                              <w:pPr>
                                <w:textDirection w:val="btLr"/>
                              </w:pPr>
                            </w:p>
                          </w:txbxContent>
                        </v:textbox>
                      </v:rect>
                      <v:rect id="Retângulo 44" o:spid="_x0000_s1061" style="position:absolute;left:20587;top:7066;width:7940;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" filled="f" stroked="f">
                        <v:textbox inset=".28194mm,.28194mm,.28194mm,.28194mm">
                          <w:txbxContent>
                            <w:p w:rsidR="0074715F" w:rsidRDefault="0074715F">
                              <w:pPr>
                                <w:spacing w:line="215" w:lineRule="auto"/>
                                <w:jc w:val="center"/>
                                <w:textDirection w:val="btLr"/>
                              </w:pPr>
                              <w:r>
                                <w:rPr>
                                  <w:color w:val="000000"/>
                                  <w:sz w:val="16"/>
                                </w:rPr>
                                <w:t>Encontrar e reconhecer riscos;     Descrever eventos (causas e consequências)</w:t>
                              </w:r>
                            </w:p>
                          </w:txbxContent>
                        </v:textbox>
                      </v:rect>
                      <v:shape id="Divisa 45" o:spid="_x0000_s1062" type="#_x0000_t55" style="position:absolute;left:28527;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" adj="8141" fillcolor="#b3cae7" stroked="f">
                        <v:textbox inset="2.53958mm,2.53958mm,2.53958mm,2.53958mm">
                          <w:txbxContent>
                            <w:p w:rsidR="0074715F" w:rsidRDefault="0074715F">
                              <w:pPr>
                                <w:textDirection w:val="btLr"/>
                              </w:pPr>
                            </w:p>
                          </w:txbxContent>
                        </v:textbox>
                      </v:shape>
                      <v:rect id="Retângulo 46" o:spid="_x0000_s1063" style="position:absolute;left:30548;top:2817;width:551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74715F" w:rsidRDefault="0074715F">
                              <w:pPr>
                                <w:textDirection w:val="btLr"/>
                              </w:pPr>
                            </w:p>
                          </w:txbxContent>
                        </v:textbox>
                      </v:rect>
                      <v:rect id="Retângulo 47" o:spid="_x0000_s1064" style="position:absolute;left:30548;top:2817;width:551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" filled="f" stroked="f">
                        <v:textbox inset=".28194mm,.28194mm,.28194mm,.28194mm">
                          <w:txbxContent>
                            <w:p w:rsidR="0074715F" w:rsidRDefault="0074715F">
                              <w:pPr>
                                <w:spacing w:line="215" w:lineRule="auto"/>
                                <w:jc w:val="center"/>
                                <w:textDirection w:val="btLr"/>
                              </w:pPr>
                              <w:r>
                                <w:rPr>
                                  <w:b/>
                                  <w:color w:val="000000"/>
                                  <w:sz w:val="16"/>
                                </w:rPr>
                                <w:t>Análise de Riscos</w:t>
                              </w:r>
                            </w:p>
                          </w:txbxContent>
                        </v:textbox>
                      </v:rect>
                      <v:rect id="Retângulo 48" o:spid="_x0000_s1065" style="position:absolute;left:30548;top:7684;width:5512;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rsidR="0074715F" w:rsidRDefault="0074715F">
                              <w:pPr>
                                <w:textDirection w:val="btLr"/>
                              </w:pPr>
                            </w:p>
                          </w:txbxContent>
                        </v:textbox>
                      </v:rect>
                      <v:rect id="Retângulo 49" o:spid="_x0000_s1066" style="position:absolute;left:30548;top:7684;width:5512;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" filled="f" stroked="f">
                        <v:textbox inset=".28194mm,.28194mm,.28194mm,.28194mm">
                          <w:txbxContent>
                            <w:p w:rsidR="0074715F" w:rsidRDefault="0074715F">
                              <w:pPr>
                                <w:spacing w:line="215" w:lineRule="auto"/>
                                <w:jc w:val="center"/>
                                <w:textDirection w:val="btLr"/>
                              </w:pPr>
                              <w:r>
                                <w:rPr>
                                  <w:color w:val="000000"/>
                                  <w:sz w:val="16"/>
                                </w:rPr>
                                <w:t>Criticidade</w:t>
                              </w:r>
                            </w:p>
                          </w:txbxContent>
                        </v:textbox>
                      </v:rect>
                      <v:shape id="Divisa 50" o:spid="_x0000_s1067" type="#_x0000_t55" style="position:absolute;left:36060;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" adj="8141" fillcolor="#b3cae7" stroked="f">
                        <v:textbox inset="2.53958mm,2.53958mm,2.53958mm,2.53958mm">
                          <w:txbxContent>
                            <w:p w:rsidR="0074715F" w:rsidRDefault="0074715F">
                              <w:pPr>
                                <w:textDirection w:val="btLr"/>
                              </w:pPr>
                            </w:p>
                          </w:txbxContent>
                        </v:textbox>
                      </v:shape>
                      <v:rect id="Retângulo 51" o:spid="_x0000_s1068" style="position:absolute;left:38081;top:2817;width:5513;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74715F" w:rsidRDefault="0074715F">
                              <w:pPr>
                                <w:textDirection w:val="btLr"/>
                              </w:pPr>
                            </w:p>
                          </w:txbxContent>
                        </v:textbox>
                      </v:rect>
                      <v:rect id="Retângulo 52" o:spid="_x0000_s1069" style="position:absolute;left:38081;top:2817;width:5513;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" filled="f" stroked="f">
                        <v:textbox inset=".28194mm,.28194mm,.28194mm,.28194mm">
                          <w:txbxContent>
                            <w:p w:rsidR="0074715F" w:rsidRDefault="0074715F">
                              <w:pPr>
                                <w:spacing w:line="215" w:lineRule="auto"/>
                                <w:jc w:val="center"/>
                                <w:textDirection w:val="btLr"/>
                              </w:pPr>
                              <w:r>
                                <w:rPr>
                                  <w:b/>
                                  <w:color w:val="000000"/>
                                  <w:sz w:val="16"/>
                                </w:rPr>
                                <w:t>Tratamento</w:t>
                              </w:r>
                            </w:p>
                          </w:txbxContent>
                        </v:textbox>
                      </v:rect>
                      <v:rect id="Retângulo 53" o:spid="_x0000_s1070" style="position:absolute;left:38081;top:7684;width:5513;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74715F" w:rsidRDefault="0074715F">
                              <w:pPr>
                                <w:textDirection w:val="btLr"/>
                              </w:pPr>
                            </w:p>
                          </w:txbxContent>
                        </v:textbox>
                      </v:rect>
                      <v:rect id="Retângulo 54" o:spid="_x0000_s1071" style="position:absolute;left:38081;top:7684;width:5513;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" filled="f" stroked="f">
                        <v:textbox inset=".28194mm,.28194mm,.28194mm,.28194mm">
                          <w:txbxContent>
                            <w:p w:rsidR="0074715F" w:rsidRDefault="0074715F">
                              <w:pPr>
                                <w:spacing w:line="215" w:lineRule="auto"/>
                                <w:jc w:val="center"/>
                                <w:textDirection w:val="btLr"/>
                              </w:pPr>
                              <w:r>
                                <w:rPr>
                                  <w:color w:val="000000"/>
                                  <w:sz w:val="16"/>
                                </w:rPr>
                                <w:t>Controles</w:t>
                              </w:r>
                            </w:p>
                          </w:txbxContent>
                        </v:textbox>
                      </v:rect>
                      <v:shape id="Divisa 55" o:spid="_x0000_s1072" type="#_x0000_t55" style="position:absolute;left:43594;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" adj="8141" fillcolor="#b3cae7" stroked="f">
                        <v:textbox inset="2.53958mm,2.53958mm,2.53958mm,2.53958mm">
                          <w:txbxContent>
                            <w:p w:rsidR="0074715F" w:rsidRDefault="0074715F">
                              <w:pPr>
                                <w:textDirection w:val="btLr"/>
                              </w:pPr>
                            </w:p>
                          </w:txbxContent>
                        </v:textbox>
                      </v:shape>
                      <v:oval id="Elipse 56" o:spid="_x0000_s1073" style="position:absolute;left:45615;top:2496;width:952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74715F" w:rsidRDefault="0074715F">
                              <w:pPr>
                                <w:textDirection w:val="btLr"/>
                              </w:pPr>
                            </w:p>
                          </w:txbxContent>
                        </v:textbox>
                      </v:oval>
                      <v:rect id="Retângulo 57" o:spid="_x0000_s1074" style="position:absolute;left:47001;top:3181;width:8271;height: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" filled="f" stroked="f">
                        <v:textbox inset="0,0,0,0">
                          <w:txbxContent>
                            <w:p w:rsidR="0074715F" w:rsidRDefault="0074715F">
                              <w:pPr>
                                <w:spacing w:line="215" w:lineRule="auto"/>
                                <w:jc w:val="center"/>
                                <w:textDirection w:val="btLr"/>
                              </w:pPr>
                              <w:r>
                                <w:rPr>
                                  <w:b/>
                                  <w:color w:val="000000"/>
                                  <w:sz w:val="18"/>
                                </w:rPr>
                                <w:t>Monitoramento Relato</w:t>
                              </w:r>
                            </w:p>
                          </w:txbxContent>
                        </v:textbox>
                      </v:rect>
                      <v:rect id="Retângulo 58" o:spid="_x0000_s1075" style="position:absolute;left:5;top:2826;width:9113;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" filled="f" stroked="f">
                        <v:textbox inset=".31736mm,.31736mm,.31736mm,.31736mm">
                          <w:txbxContent>
                            <w:p w:rsidR="0074715F" w:rsidRDefault="0074715F">
                              <w:pPr>
                                <w:spacing w:line="215" w:lineRule="auto"/>
                                <w:jc w:val="center"/>
                                <w:textDirection w:val="btLr"/>
                              </w:pPr>
                              <w:r>
                                <w:rPr>
                                  <w:b/>
                                  <w:color w:val="000000"/>
                                  <w:sz w:val="18"/>
                                </w:rPr>
                                <w:t>GERENCIAMENTO DE RISCOS</w:t>
                              </w:r>
                            </w:p>
                          </w:txbxContent>
                        </v:textbox>
                      </v:rect>
                    </v:group>
                  </v:group>
                </v:group>
                <w10:anchorlock/>
              </v:group>
            </w:pict>
          </mc:Fallback>
        </mc:AlternateContent>
      </w:r>
    </w:p>
    <w:p w:rsidR="003073A4" w:rsidRDefault="000545DD">
      <w:pPr>
        <w:pBdr>
          <w:top w:val="nil"/>
          <w:left w:val="nil"/>
          <w:bottom w:val="nil"/>
          <w:right w:val="nil"/>
          <w:between w:val="nil"/>
        </w:pBdr>
        <w:spacing w:before="120" w:after="120" w:line="360" w:lineRule="auto"/>
        <w:ind w:right="195"/>
        <w:jc w:val="both"/>
        <w:rPr>
          <w:i/>
          <w:iCs/>
          <w:color w:val="000000"/>
          <w:sz w:val="18"/>
          <w:szCs w:val="18"/>
        </w:rPr>
      </w:pPr>
      <w:r>
        <w:rPr>
          <w:color w:val="000000"/>
          <w:sz w:val="18"/>
          <w:szCs w:val="18"/>
        </w:rPr>
        <w:t>Fonte: CODCON - Coordenadoria de Controle (2026)</w:t>
      </w:r>
    </w:p>
    <w:p w:rsidR="003073A4" w:rsidRDefault="000545DD">
      <w:pPr>
        <w:pBdr>
          <w:top w:val="nil"/>
          <w:left w:val="nil"/>
          <w:bottom w:val="nil"/>
          <w:right w:val="nil"/>
          <w:between w:val="nil"/>
        </w:pBdr>
        <w:spacing w:before="120" w:after="120" w:line="360" w:lineRule="auto"/>
        <w:jc w:val="both"/>
        <w:rPr>
          <w:color w:val="000000"/>
        </w:rPr>
      </w:pPr>
      <w:r>
        <w:rPr>
          <w:color w:val="000000"/>
        </w:rPr>
        <w:t>Nesse contexto, é importante registrar o papel dos atores no processo de gerenciamento de riscos da CDC, em consonância com a sua Política de Gestão de Riscos e Controles Internos. Vejamos algumas destas atribuições:</w:t>
      </w:r>
    </w:p>
    <w:p w:rsidR="003073A4" w:rsidRDefault="000545DD">
      <w:pPr>
        <w:pBdr>
          <w:top w:val="nil"/>
          <w:left w:val="nil"/>
          <w:bottom w:val="nil"/>
          <w:right w:val="nil"/>
          <w:between w:val="nil"/>
        </w:pBdr>
        <w:spacing w:before="120" w:after="120" w:line="360" w:lineRule="auto"/>
        <w:ind w:right="195"/>
        <w:jc w:val="both"/>
        <w:rPr>
          <w:color w:val="000000"/>
          <w:sz w:val="18"/>
          <w:szCs w:val="18"/>
        </w:rPr>
      </w:pPr>
      <w:r>
        <w:rPr>
          <w:color w:val="000000"/>
          <w:sz w:val="18"/>
          <w:szCs w:val="18"/>
        </w:rPr>
        <w:t>Figura 7 – Atribuições na Gestão de Riscos</w:t>
      </w:r>
    </w:p>
    <w:p w:rsidR="003073A4" w:rsidRDefault="000545DD">
      <w:pPr>
        <w:pBdr>
          <w:top w:val="single" w:sz="4" w:space="1" w:color="000000"/>
          <w:left w:val="single" w:sz="4" w:space="4" w:color="000000"/>
          <w:bottom w:val="single" w:sz="4" w:space="1" w:color="000000"/>
          <w:right w:val="single" w:sz="4" w:space="0" w:color="000000"/>
          <w:between w:val="single" w:sz="4" w:space="1" w:color="000000"/>
        </w:pBdr>
        <w:spacing w:before="120" w:after="120" w:line="360" w:lineRule="auto"/>
        <w:jc w:val="center"/>
        <w:rPr>
          <w:color w:val="000000"/>
        </w:rPr>
      </w:pPr>
      <w:r>
        <w:rPr>
          <w:rFonts w:ascii="Cambria" w:eastAsia="Cambria" w:hAnsi="Cambria" w:cs="Cambria"/>
          <w:noProof/>
          <w:color w:val="000000"/>
        </w:rPr>
        <mc:AlternateContent>
          <mc:Choice Requires="wpg">
            <w:drawing>
              <wp:inline distT="0" distB="0" distL="0" distR="0">
                <wp:extent cx="5319423" cy="1836752"/>
                <wp:effectExtent l="0" t="0" r="0" b="0"/>
                <wp:docPr id="1" name="Agrupar 1"/>
                <wp:cNvGraphicFramePr/>
                <a:graphic xmlns:a="http://schemas.openxmlformats.org/drawingml/2006/main">
                  <a:graphicData uri="http://schemas.microsoft.com/office/word/2010/wordprocessingGroup">
                    <wpg:wgp>
                      <wpg:cNvGrpSpPr/>
                      <wpg:grpSpPr>
                        <a:xfrm>
                          <a:off x="0" y="0"/>
                          <a:ext cx="5319423" cy="1836752"/>
                          <a:chOff x="2686275" y="2861600"/>
                          <a:chExt cx="5319450" cy="1836800"/>
                        </a:xfrm>
                      </wpg:grpSpPr>
                      <wpg:grpSp>
                        <wpg:cNvPr id="59" name="Agrupar 4"/>
                        <wpg:cNvGrpSpPr/>
                        <wpg:grpSpPr>
                          <a:xfrm>
                            <a:off x="2686289" y="2861624"/>
                            <a:ext cx="5319423" cy="1836752"/>
                            <a:chOff x="2504411" y="2616060"/>
                            <a:chExt cx="5676531" cy="2327880"/>
                          </a:xfrm>
                        </wpg:grpSpPr>
                        <wps:wsp>
                          <wps:cNvPr id="60" name="Retângulo 5"/>
                          <wps:cNvSpPr/>
                          <wps:spPr>
                            <a:xfrm>
                              <a:off x="2504411" y="2616060"/>
                              <a:ext cx="5676525" cy="2327875"/>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g:grpSp>
                          <wpg:cNvPr id="61" name="Agrupar 6"/>
                          <wpg:cNvGrpSpPr/>
                          <wpg:grpSpPr>
                            <a:xfrm>
                              <a:off x="2504411" y="2616060"/>
                              <a:ext cx="5676531" cy="2327880"/>
                              <a:chOff x="2499648" y="2616050"/>
                              <a:chExt cx="5681302" cy="2327900"/>
                            </a:xfrm>
                          </wpg:grpSpPr>
                          <wps:wsp>
                            <wps:cNvPr id="62" name="Retângulo 7"/>
                            <wps:cNvSpPr/>
                            <wps:spPr>
                              <a:xfrm>
                                <a:off x="2506300" y="2616050"/>
                                <a:ext cx="5674650" cy="2327900"/>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g:grpSp>
                            <wpg:cNvPr id="63" name="Agrupar 8"/>
                            <wpg:cNvGrpSpPr/>
                            <wpg:grpSpPr>
                              <a:xfrm>
                                <a:off x="2499648" y="2616060"/>
                                <a:ext cx="5681295" cy="2327880"/>
                                <a:chOff x="-11420" y="0"/>
                                <a:chExt cx="5686302" cy="2327880"/>
                              </a:xfrm>
                            </wpg:grpSpPr>
                            <wps:wsp>
                              <wps:cNvPr id="64" name="Retângulo 10"/>
                              <wps:cNvSpPr/>
                              <wps:spPr>
                                <a:xfrm>
                                  <a:off x="0" y="0"/>
                                  <a:ext cx="5674875" cy="2327875"/>
                                </a:xfrm>
                                <a:prstGeom prst="rect">
                                  <a:avLst/>
                                </a:prstGeom>
                                <a:noFill/>
                                <a:ln>
                                  <a:noFill/>
                                </a:ln>
                              </wps:spPr>
                              <wps:txbx>
                                <w:txbxContent>
                                  <w:p w:rsidR="0074715F" w:rsidRDefault="0074715F">
                                    <w:pPr>
                                      <w:textDirection w:val="btLr"/>
                                    </w:pPr>
                                  </w:p>
                                </w:txbxContent>
                              </wps:txbx>
                              <wps:bodyPr spcFirstLastPara="1" wrap="square" lIns="91425" tIns="91425" rIns="91425" bIns="91425" anchor="ctr" anchorCtr="0">
                                <a:noAutofit/>
                              </wps:bodyPr>
                            </wps:wsp>
                            <wpg:grpSp>
                              <wpg:cNvPr id="65" name="Agrupar 11"/>
                              <wpg:cNvGrpSpPr/>
                              <wpg:grpSpPr>
                                <a:xfrm>
                                  <a:off x="-11420" y="0"/>
                                  <a:ext cx="5686302" cy="2327880"/>
                                  <a:chOff x="-11420" y="0"/>
                                  <a:chExt cx="5686302" cy="2327880"/>
                                </a:xfrm>
                              </wpg:grpSpPr>
                              <wps:wsp>
                                <wps:cNvPr id="66" name="Retângulo 59"/>
                                <wps:cNvSpPr/>
                                <wps:spPr>
                                  <a:xfrm>
                                    <a:off x="0" y="0"/>
                                    <a:ext cx="5674882" cy="2327880"/>
                                  </a:xfrm>
                                  <a:prstGeom prst="rect">
                                    <a:avLst/>
                                  </a:prstGeom>
                                  <a:noFill/>
                                  <a:ln>
                                    <a:noFill/>
                                  </a:ln>
                                </wps:spPr>
                                <wps:txbx>
                                  <w:txbxContent>
                                    <w:p w:rsidR="0074715F" w:rsidRDefault="0074715F">
                                      <w:pPr>
                                        <w:ind w:left="282" w:right="-148" w:firstLine="1131"/>
                                        <w:jc w:val="center"/>
                                        <w:textDirection w:val="btLr"/>
                                      </w:pPr>
                                    </w:p>
                                  </w:txbxContent>
                                </wps:txbx>
                                <wps:bodyPr spcFirstLastPara="1" wrap="square" lIns="91425" tIns="91425" rIns="91425" bIns="91425" anchor="ctr" anchorCtr="0">
                                  <a:noAutofit/>
                                </wps:bodyPr>
                              </wps:wsp>
                              <wps:wsp>
                                <wps:cNvPr id="67" name="Retângulo 60"/>
                                <wps:cNvSpPr/>
                                <wps:spPr>
                                  <a:xfrm>
                                    <a:off x="5955" y="161478"/>
                                    <a:ext cx="1787082"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68" name="Retângulo 61"/>
                                <wps:cNvSpPr/>
                                <wps:spPr>
                                  <a:xfrm>
                                    <a:off x="-11420" y="103125"/>
                                    <a:ext cx="1808808" cy="716512"/>
                                  </a:xfrm>
                                  <a:prstGeom prst="rect">
                                    <a:avLst/>
                                  </a:prstGeom>
                                  <a:noFill/>
                                  <a:ln>
                                    <a:noFill/>
                                  </a:ln>
                                </wps:spPr>
                                <wps:txbx>
                                  <w:txbxContent>
                                    <w:p w:rsidR="0074715F" w:rsidRDefault="0074715F">
                                      <w:pPr>
                                        <w:spacing w:line="215" w:lineRule="auto"/>
                                        <w:jc w:val="center"/>
                                        <w:textDirection w:val="btLr"/>
                                      </w:pPr>
                                      <w:r>
                                        <w:rPr>
                                          <w:b/>
                                          <w:color w:val="000000"/>
                                          <w:sz w:val="24"/>
                                        </w:rPr>
                                        <w:t xml:space="preserve">Diretoria Executiva </w:t>
                                      </w:r>
                                    </w:p>
                                  </w:txbxContent>
                                </wps:txbx>
                                <wps:bodyPr spcFirstLastPara="1" wrap="square" lIns="120900" tIns="69075" rIns="120900" bIns="69075" anchor="ctr" anchorCtr="0">
                                  <a:noAutofit/>
                                </wps:bodyPr>
                              </wps:wsp>
                              <wps:wsp>
                                <wps:cNvPr id="69" name="Retângulo 62"/>
                                <wps:cNvSpPr/>
                                <wps:spPr>
                                  <a:xfrm>
                                    <a:off x="1604" y="775470"/>
                                    <a:ext cx="1795784" cy="1391200"/>
                                  </a:xfrm>
                                  <a:prstGeom prst="rect">
                                    <a:avLst/>
                                  </a:prstGeom>
                                  <a:solidFill>
                                    <a:srgbClr val="CFDEEF">
                                      <a:alpha val="89019"/>
                                    </a:srgbClr>
                                  </a:solidFill>
                                  <a:ln w="12700" cap="flat" cmpd="sng">
                                    <a:solidFill>
                                      <a:srgbClr val="CFDEEF">
                                        <a:alpha val="89019"/>
                                      </a:srgbClr>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70" name="Retângulo 63"/>
                                <wps:cNvSpPr/>
                                <wps:spPr>
                                  <a:xfrm>
                                    <a:off x="1604" y="775470"/>
                                    <a:ext cx="1795784" cy="1391200"/>
                                  </a:xfrm>
                                  <a:prstGeom prst="rect">
                                    <a:avLst/>
                                  </a:prstGeom>
                                  <a:noFill/>
                                  <a:ln>
                                    <a:noFill/>
                                  </a:ln>
                                </wps:spPr>
                                <wps:txbx>
                                  <w:txbxContent>
                                    <w:p w:rsidR="0074715F" w:rsidRDefault="0074715F">
                                      <w:pPr>
                                        <w:spacing w:line="215" w:lineRule="auto"/>
                                        <w:ind w:left="90" w:firstLine="90"/>
                                        <w:jc w:val="center"/>
                                        <w:textDirection w:val="btLr"/>
                                      </w:pPr>
                                      <w:r>
                                        <w:rPr>
                                          <w:color w:val="000000"/>
                                          <w:sz w:val="16"/>
                                        </w:rPr>
                                        <w:t>Avalia as respostas e as respectivas medidas de controle a serem implementadas nos processos</w:t>
                                      </w:r>
                                    </w:p>
                                  </w:txbxContent>
                                </wps:txbx>
                                <wps:bodyPr spcFirstLastPara="1" wrap="square" lIns="53325" tIns="53325" rIns="71100" bIns="80000" anchor="t" anchorCtr="0">
                                  <a:noAutofit/>
                                </wps:bodyPr>
                              </wps:wsp>
                              <wps:wsp>
                                <wps:cNvPr id="71" name="Retângulo 64"/>
                                <wps:cNvSpPr/>
                                <wps:spPr>
                                  <a:xfrm>
                                    <a:off x="2018506" y="161478"/>
                                    <a:ext cx="1579406"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72" name="Retângulo 65"/>
                                <wps:cNvSpPr/>
                                <wps:spPr>
                                  <a:xfrm>
                                    <a:off x="2002354" y="132403"/>
                                    <a:ext cx="1634130" cy="687234"/>
                                  </a:xfrm>
                                  <a:prstGeom prst="rect">
                                    <a:avLst/>
                                  </a:prstGeom>
                                  <a:noFill/>
                                  <a:ln>
                                    <a:noFill/>
                                  </a:ln>
                                </wps:spPr>
                                <wps:txbx>
                                  <w:txbxContent>
                                    <w:p w:rsidR="0074715F" w:rsidRDefault="0074715F">
                                      <w:pPr>
                                        <w:spacing w:before="100" w:line="215" w:lineRule="auto"/>
                                        <w:jc w:val="center"/>
                                        <w:textDirection w:val="btLr"/>
                                      </w:pPr>
                                      <w:r>
                                        <w:rPr>
                                          <w:b/>
                                          <w:color w:val="000000"/>
                                          <w:sz w:val="24"/>
                                        </w:rPr>
                                        <w:t>Equipe de Riscos</w:t>
                                      </w:r>
                                    </w:p>
                                  </w:txbxContent>
                                </wps:txbx>
                                <wps:bodyPr spcFirstLastPara="1" wrap="square" lIns="120900" tIns="69075" rIns="120900" bIns="69075" anchor="ctr" anchorCtr="0">
                                  <a:noAutofit/>
                                </wps:bodyPr>
                              </wps:wsp>
                              <wps:wsp>
                                <wps:cNvPr id="73" name="Retângulo 66"/>
                                <wps:cNvSpPr/>
                                <wps:spPr>
                                  <a:xfrm>
                                    <a:off x="2018506" y="775470"/>
                                    <a:ext cx="1579406" cy="1391200"/>
                                  </a:xfrm>
                                  <a:prstGeom prst="rect">
                                    <a:avLst/>
                                  </a:prstGeom>
                                  <a:solidFill>
                                    <a:srgbClr val="CFDEEF">
                                      <a:alpha val="89019"/>
                                    </a:srgbClr>
                                  </a:solidFill>
                                  <a:ln w="12700" cap="flat" cmpd="sng">
                                    <a:solidFill>
                                      <a:srgbClr val="CFDEEF">
                                        <a:alpha val="89019"/>
                                      </a:srgbClr>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74" name="Retângulo 67"/>
                                <wps:cNvSpPr/>
                                <wps:spPr>
                                  <a:xfrm>
                                    <a:off x="1945049" y="775443"/>
                                    <a:ext cx="1652699" cy="1391188"/>
                                  </a:xfrm>
                                  <a:prstGeom prst="rect">
                                    <a:avLst/>
                                  </a:prstGeom>
                                  <a:noFill/>
                                  <a:ln>
                                    <a:noFill/>
                                  </a:ln>
                                </wps:spPr>
                                <wps:txbx>
                                  <w:txbxContent>
                                    <w:p w:rsidR="0074715F" w:rsidRDefault="0074715F">
                                      <w:pPr>
                                        <w:spacing w:line="215" w:lineRule="auto"/>
                                        <w:ind w:left="90" w:firstLine="90"/>
                                        <w:jc w:val="center"/>
                                        <w:textDirection w:val="btLr"/>
                                      </w:pPr>
                                      <w:r>
                                        <w:rPr>
                                          <w:color w:val="000000"/>
                                          <w:sz w:val="16"/>
                                        </w:rPr>
                                        <w:t>Auxilia na definição dos proprietários de riscos dos processos institucionais,  na aprovação das respostas e das respectivas medidas de controle a serem implementadas nos processos</w:t>
                                      </w:r>
                                    </w:p>
                                  </w:txbxContent>
                                </wps:txbx>
                                <wps:bodyPr spcFirstLastPara="1" wrap="square" lIns="53325" tIns="53325" rIns="71100" bIns="80000" anchor="t" anchorCtr="0">
                                  <a:noAutofit/>
                                </wps:bodyPr>
                              </wps:wsp>
                              <wps:wsp>
                                <wps:cNvPr id="75" name="Retângulo 68"/>
                                <wps:cNvSpPr/>
                                <wps:spPr>
                                  <a:xfrm>
                                    <a:off x="3819029" y="161478"/>
                                    <a:ext cx="1579406"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76" name="Retângulo 69"/>
                                <wps:cNvSpPr/>
                                <wps:spPr>
                                  <a:xfrm>
                                    <a:off x="3834826" y="103127"/>
                                    <a:ext cx="1579577" cy="700401"/>
                                  </a:xfrm>
                                  <a:prstGeom prst="rect">
                                    <a:avLst/>
                                  </a:prstGeom>
                                  <a:noFill/>
                                  <a:ln>
                                    <a:noFill/>
                                  </a:ln>
                                </wps:spPr>
                                <wps:txbx>
                                  <w:txbxContent>
                                    <w:p w:rsidR="0074715F" w:rsidRDefault="0074715F">
                                      <w:pPr>
                                        <w:spacing w:line="215" w:lineRule="auto"/>
                                        <w:jc w:val="center"/>
                                        <w:textDirection w:val="btLr"/>
                                      </w:pPr>
                                      <w:r>
                                        <w:rPr>
                                          <w:b/>
                                          <w:color w:val="000000"/>
                                          <w:sz w:val="24"/>
                                        </w:rPr>
                                        <w:t>Proprietário de riscos</w:t>
                                      </w:r>
                                    </w:p>
                                  </w:txbxContent>
                                </wps:txbx>
                                <wps:bodyPr spcFirstLastPara="1" wrap="square" lIns="120900" tIns="69075" rIns="120900" bIns="69075" anchor="ctr" anchorCtr="0">
                                  <a:noAutofit/>
                                </wps:bodyPr>
                              </wps:wsp>
                              <wps:wsp>
                                <wps:cNvPr id="77" name="Retângulo 70"/>
                                <wps:cNvSpPr/>
                                <wps:spPr>
                                  <a:xfrm>
                                    <a:off x="3819029" y="775470"/>
                                    <a:ext cx="1579406" cy="1391200"/>
                                  </a:xfrm>
                                  <a:prstGeom prst="rect">
                                    <a:avLst/>
                                  </a:prstGeom>
                                  <a:solidFill>
                                    <a:srgbClr val="CFDEEF">
                                      <a:alpha val="89019"/>
                                    </a:srgbClr>
                                  </a:solidFill>
                                  <a:ln w="12700" cap="flat" cmpd="sng">
                                    <a:solidFill>
                                      <a:srgbClr val="CFDEEF">
                                        <a:alpha val="89019"/>
                                      </a:srgbClr>
                                    </a:solidFill>
                                    <a:prstDash val="solid"/>
                                    <a:miter lim="800000"/>
                                    <a:headEnd type="none" w="sm" len="sm"/>
                                    <a:tailEnd type="none" w="sm" len="sm"/>
                                  </a:ln>
                                </wps:spPr>
                                <wps:txbx>
                                  <w:txbxContent>
                                    <w:p w:rsidR="0074715F" w:rsidRDefault="0074715F">
                                      <w:pPr>
                                        <w:textDirection w:val="btLr"/>
                                      </w:pPr>
                                    </w:p>
                                  </w:txbxContent>
                                </wps:txbx>
                                <wps:bodyPr spcFirstLastPara="1" wrap="square" lIns="91425" tIns="91425" rIns="91425" bIns="91425" anchor="ctr" anchorCtr="0">
                                  <a:noAutofit/>
                                </wps:bodyPr>
                              </wps:wsp>
                              <wps:wsp>
                                <wps:cNvPr id="78" name="Retângulo 71"/>
                                <wps:cNvSpPr/>
                                <wps:spPr>
                                  <a:xfrm>
                                    <a:off x="3734703" y="775376"/>
                                    <a:ext cx="1740621" cy="1391135"/>
                                  </a:xfrm>
                                  <a:prstGeom prst="rect">
                                    <a:avLst/>
                                  </a:prstGeom>
                                  <a:noFill/>
                                  <a:ln>
                                    <a:noFill/>
                                  </a:ln>
                                </wps:spPr>
                                <wps:txbx>
                                  <w:txbxContent>
                                    <w:p w:rsidR="0074715F" w:rsidRDefault="0074715F">
                                      <w:pPr>
                                        <w:spacing w:line="215" w:lineRule="auto"/>
                                        <w:ind w:left="90" w:firstLine="360"/>
                                        <w:jc w:val="both"/>
                                        <w:textDirection w:val="btLr"/>
                                      </w:pPr>
                                      <w:r>
                                        <w:rPr>
                                          <w:color w:val="000000"/>
                                          <w:sz w:val="16"/>
                                        </w:rPr>
                                        <w:t>Identifica, analisa e avalia os riscos dos processos sob sua responsabilidade,</w:t>
                                      </w:r>
                                    </w:p>
                                    <w:p w:rsidR="0074715F" w:rsidRDefault="0074715F">
                                      <w:pPr>
                                        <w:spacing w:line="215" w:lineRule="auto"/>
                                        <w:ind w:left="90" w:firstLine="360"/>
                                        <w:jc w:val="both"/>
                                        <w:textDirection w:val="btLr"/>
                                      </w:pPr>
                                      <w:r>
                                        <w:rPr>
                                          <w:color w:val="000000"/>
                                          <w:sz w:val="16"/>
                                        </w:rPr>
                                        <w:t>Propõe respostas e respectivas medidas de controle a serem implementadas</w:t>
                                      </w:r>
                                    </w:p>
                                  </w:txbxContent>
                                </wps:txbx>
                                <wps:bodyPr spcFirstLastPara="1" wrap="square" lIns="53325" tIns="53325" rIns="71100" bIns="80000" anchor="t" anchorCtr="0">
                                  <a:noAutofit/>
                                </wps:bodyPr>
                              </wps:wsp>
                            </wpg:grpSp>
                          </wpg:grpSp>
                        </wpg:grpSp>
                      </wpg:grpSp>
                    </wpg:wgp>
                  </a:graphicData>
                </a:graphic>
              </wp:inline>
            </w:drawing>
          </mc:Choice>
          <mc:Fallback>
            <w:pict>
              <v:group id="Agrupar 1" o:spid="_x0000_s1076" style="width:418.85pt;height:144.65pt;mso-position-horizontal-relative:char;mso-position-vertical-relative:line" coordorigin="26862,28616" coordsize="53194,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">
                <v:group id="Agrupar 4" o:spid="_x0000_s1077" style="position:absolute;left:26862;top:28616;width:53195;height:18367" coordorigin="25044,26160" coordsize="56765,2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tângulo 5" o:spid="_x0000_s1078" style="position:absolute;left:25044;top:26160;width:56765;height:2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rsidR="0074715F" w:rsidRDefault="0074715F">
                          <w:pPr>
                            <w:textDirection w:val="btLr"/>
                          </w:pPr>
                        </w:p>
                      </w:txbxContent>
                    </v:textbox>
                  </v:rect>
                  <v:group id="Agrupar 6" o:spid="_x0000_s1079" style="position:absolute;left:25044;top:26160;width:56765;height:23279" coordorigin="24996,26160" coordsize="56813,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ângulo 7" o:spid="_x0000_s1080" style="position:absolute;left:25063;top:26160;width:56746;height:2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74715F" w:rsidRDefault="0074715F">
                            <w:pPr>
                              <w:textDirection w:val="btLr"/>
                            </w:pPr>
                          </w:p>
                        </w:txbxContent>
                      </v:textbox>
                    </v:rect>
                    <v:group id="Agrupar 8" o:spid="_x0000_s1081" style="position:absolute;left:24996;top:26160;width:56813;height:23279" coordorigin="-114" coordsize="56863,2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tângulo 10" o:spid="_x0000_s1082" style="position:absolute;width:56748;height:2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rsidR="0074715F" w:rsidRDefault="0074715F">
                              <w:pPr>
                                <w:textDirection w:val="btLr"/>
                              </w:pPr>
                            </w:p>
                          </w:txbxContent>
                        </v:textbox>
                      </v:rect>
                      <v:group id="Agrupar 11" o:spid="_x0000_s1083" style="position:absolute;left:-114;width:56862;height:23278" coordorigin="-114" coordsize="56863,2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tângulo 59" o:spid="_x0000_s1084" style="position:absolute;width:56748;height:2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rsidR="0074715F" w:rsidRDefault="0074715F">
                                <w:pPr>
                                  <w:ind w:left="282" w:right="-148" w:firstLine="1131"/>
                                  <w:jc w:val="center"/>
                                  <w:textDirection w:val="btLr"/>
                                </w:pPr>
                              </w:p>
                            </w:txbxContent>
                          </v:textbox>
                        </v:rect>
                        <v:rect id="Retângulo 60" o:spid="_x0000_s1085" style="position:absolute;left:59;top:1614;width:17871;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" fillcolor="#599bd5" strokecolor="#599bd5" strokeweight="1pt">
                          <v:stroke startarrowwidth="narrow" startarrowlength="short" endarrowwidth="narrow" endarrowlength="short"/>
                          <v:textbox inset="2.53958mm,2.53958mm,2.53958mm,2.53958mm">
                            <w:txbxContent>
                              <w:p w:rsidR="0074715F" w:rsidRDefault="0074715F">
                                <w:pPr>
                                  <w:textDirection w:val="btLr"/>
                                </w:pPr>
                              </w:p>
                            </w:txbxContent>
                          </v:textbox>
                        </v:rect>
                        <v:rect id="Retângulo 61" o:spid="_x0000_s1086" style="position:absolute;left:-114;top:1031;width:18087;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" filled="f" stroked="f">
                          <v:textbox inset="3.35833mm,1.91875mm,3.35833mm,1.91875mm">
                            <w:txbxContent>
                              <w:p w:rsidR="0074715F" w:rsidRDefault="0074715F">
                                <w:pPr>
                                  <w:spacing w:line="215" w:lineRule="auto"/>
                                  <w:jc w:val="center"/>
                                  <w:textDirection w:val="btLr"/>
                                </w:pPr>
                                <w:r>
                                  <w:rPr>
                                    <w:b/>
                                    <w:color w:val="000000"/>
                                    <w:sz w:val="24"/>
                                  </w:rPr>
                                  <w:t xml:space="preserve">Diretoria Executiva </w:t>
                                </w:r>
                              </w:p>
                            </w:txbxContent>
                          </v:textbox>
                        </v:rect>
                        <v:rect id="Retângulo 62" o:spid="_x0000_s1087" style="position:absolute;left:16;top:7754;width:17957;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" fillcolor="#cfdeef" strokecolor="#cfdeef" strokeweight="1pt">
                          <v:fill opacity="58339f"/>
                          <v:stroke startarrowwidth="narrow" startarrowlength="short" endarrowwidth="narrow" endarrowlength="short" opacity="58339f"/>
                          <v:textbox inset="2.53958mm,2.53958mm,2.53958mm,2.53958mm">
                            <w:txbxContent>
                              <w:p w:rsidR="0074715F" w:rsidRDefault="0074715F">
                                <w:pPr>
                                  <w:textDirection w:val="btLr"/>
                                </w:pPr>
                              </w:p>
                            </w:txbxContent>
                          </v:textbox>
                        </v:rect>
                        <v:rect id="Retângulo 63" o:spid="_x0000_s1088" style="position:absolute;left:16;top:7754;width:17957;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" filled="f" stroked="f">
                          <v:textbox inset="1.48125mm,1.48125mm,1.975mm,2.22222mm">
                            <w:txbxContent>
                              <w:p w:rsidR="0074715F" w:rsidRDefault="0074715F">
                                <w:pPr>
                                  <w:spacing w:line="215" w:lineRule="auto"/>
                                  <w:ind w:left="90" w:firstLine="90"/>
                                  <w:jc w:val="center"/>
                                  <w:textDirection w:val="btLr"/>
                                </w:pPr>
                                <w:r>
                                  <w:rPr>
                                    <w:color w:val="000000"/>
                                    <w:sz w:val="16"/>
                                  </w:rPr>
                                  <w:t>Avalia as respostas e as respectivas medidas de controle a serem implementadas nos processos</w:t>
                                </w:r>
                              </w:p>
                            </w:txbxContent>
                          </v:textbox>
                        </v:rect>
                        <v:rect id="Retângulo 64" o:spid="_x0000_s1089" style="position:absolute;left:20185;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" fillcolor="#599bd5" strokecolor="#599bd5" strokeweight="1pt">
                          <v:stroke startarrowwidth="narrow" startarrowlength="short" endarrowwidth="narrow" endarrowlength="short"/>
                          <v:textbox inset="2.53958mm,2.53958mm,2.53958mm,2.53958mm">
                            <w:txbxContent>
                              <w:p w:rsidR="0074715F" w:rsidRDefault="0074715F">
                                <w:pPr>
                                  <w:textDirection w:val="btLr"/>
                                </w:pPr>
                              </w:p>
                            </w:txbxContent>
                          </v:textbox>
                        </v:rect>
                        <v:rect id="Retângulo 65" o:spid="_x0000_s1090" style="position:absolute;left:20023;top:1324;width:16341;height:6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" filled="f" stroked="f">
                          <v:textbox inset="3.35833mm,1.91875mm,3.35833mm,1.91875mm">
                            <w:txbxContent>
                              <w:p w:rsidR="0074715F" w:rsidRDefault="0074715F">
                                <w:pPr>
                                  <w:spacing w:before="100" w:line="215" w:lineRule="auto"/>
                                  <w:jc w:val="center"/>
                                  <w:textDirection w:val="btLr"/>
                                </w:pPr>
                                <w:r>
                                  <w:rPr>
                                    <w:b/>
                                    <w:color w:val="000000"/>
                                    <w:sz w:val="24"/>
                                  </w:rPr>
                                  <w:t>Equipe de Riscos</w:t>
                                </w:r>
                              </w:p>
                            </w:txbxContent>
                          </v:textbox>
                        </v:rect>
                        <v:rect id="Retângulo 66" o:spid="_x0000_s1091" style="position:absolute;left:20185;top:7754;width:15794;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" fillcolor="#cfdeef" strokecolor="#cfdeef" strokeweight="1pt">
                          <v:fill opacity="58339f"/>
                          <v:stroke startarrowwidth="narrow" startarrowlength="short" endarrowwidth="narrow" endarrowlength="short" opacity="58339f"/>
                          <v:textbox inset="2.53958mm,2.53958mm,2.53958mm,2.53958mm">
                            <w:txbxContent>
                              <w:p w:rsidR="0074715F" w:rsidRDefault="0074715F">
                                <w:pPr>
                                  <w:textDirection w:val="btLr"/>
                                </w:pPr>
                              </w:p>
                            </w:txbxContent>
                          </v:textbox>
                        </v:rect>
                        <v:rect id="Retângulo 67" o:spid="_x0000_s1092" style="position:absolute;left:19450;top:7754;width:16527;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" filled="f" stroked="f">
                          <v:textbox inset="1.48125mm,1.48125mm,1.975mm,2.22222mm">
                            <w:txbxContent>
                              <w:p w:rsidR="0074715F" w:rsidRDefault="0074715F">
                                <w:pPr>
                                  <w:spacing w:line="215" w:lineRule="auto"/>
                                  <w:ind w:left="90" w:firstLine="90"/>
                                  <w:jc w:val="center"/>
                                  <w:textDirection w:val="btLr"/>
                                </w:pPr>
                                <w:r>
                                  <w:rPr>
                                    <w:color w:val="000000"/>
                                    <w:sz w:val="16"/>
                                  </w:rPr>
                                  <w:t>Auxilia na definição dos proprietários de riscos dos processos institucionais,  na aprovação das respostas e das respectivas medidas de controle a serem implementadas nos processos</w:t>
                                </w:r>
                              </w:p>
                            </w:txbxContent>
                          </v:textbox>
                        </v:rect>
                        <v:rect id="Retângulo 68" o:spid="_x0000_s1093" style="position:absolute;left:38190;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" fillcolor="#599bd5" strokecolor="#599bd5" strokeweight="1pt">
                          <v:stroke startarrowwidth="narrow" startarrowlength="short" endarrowwidth="narrow" endarrowlength="short"/>
                          <v:textbox inset="2.53958mm,2.53958mm,2.53958mm,2.53958mm">
                            <w:txbxContent>
                              <w:p w:rsidR="0074715F" w:rsidRDefault="0074715F">
                                <w:pPr>
                                  <w:textDirection w:val="btLr"/>
                                </w:pPr>
                              </w:p>
                            </w:txbxContent>
                          </v:textbox>
                        </v:rect>
                        <v:rect id="Retângulo 69" o:spid="_x0000_s1094" style="position:absolute;left:38348;top:1031;width:15796;height:7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" filled="f" stroked="f">
                          <v:textbox inset="3.35833mm,1.91875mm,3.35833mm,1.91875mm">
                            <w:txbxContent>
                              <w:p w:rsidR="0074715F" w:rsidRDefault="0074715F">
                                <w:pPr>
                                  <w:spacing w:line="215" w:lineRule="auto"/>
                                  <w:jc w:val="center"/>
                                  <w:textDirection w:val="btLr"/>
                                </w:pPr>
                                <w:r>
                                  <w:rPr>
                                    <w:b/>
                                    <w:color w:val="000000"/>
                                    <w:sz w:val="24"/>
                                  </w:rPr>
                                  <w:t>Proprietário de riscos</w:t>
                                </w:r>
                              </w:p>
                            </w:txbxContent>
                          </v:textbox>
                        </v:rect>
                        <v:rect id="Retângulo 70" o:spid="_x0000_s1095" style="position:absolute;left:38190;top:7754;width:15794;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" fillcolor="#cfdeef" strokecolor="#cfdeef" strokeweight="1pt">
                          <v:fill opacity="58339f"/>
                          <v:stroke startarrowwidth="narrow" startarrowlength="short" endarrowwidth="narrow" endarrowlength="short" opacity="58339f"/>
                          <v:textbox inset="2.53958mm,2.53958mm,2.53958mm,2.53958mm">
                            <w:txbxContent>
                              <w:p w:rsidR="0074715F" w:rsidRDefault="0074715F">
                                <w:pPr>
                                  <w:textDirection w:val="btLr"/>
                                </w:pPr>
                              </w:p>
                            </w:txbxContent>
                          </v:textbox>
                        </v:rect>
                        <v:rect id="Retângulo 71" o:spid="_x0000_s1096" style="position:absolute;left:37347;top:7753;width:17406;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" filled="f" stroked="f">
                          <v:textbox inset="1.48125mm,1.48125mm,1.975mm,2.22222mm">
                            <w:txbxContent>
                              <w:p w:rsidR="0074715F" w:rsidRDefault="0074715F">
                                <w:pPr>
                                  <w:spacing w:line="215" w:lineRule="auto"/>
                                  <w:ind w:left="90" w:firstLine="360"/>
                                  <w:jc w:val="both"/>
                                  <w:textDirection w:val="btLr"/>
                                </w:pPr>
                                <w:r>
                                  <w:rPr>
                                    <w:color w:val="000000"/>
                                    <w:sz w:val="16"/>
                                  </w:rPr>
                                  <w:t>Identifica, analisa e avalia os riscos dos processos sob sua responsabilidade,</w:t>
                                </w:r>
                              </w:p>
                              <w:p w:rsidR="0074715F" w:rsidRDefault="0074715F">
                                <w:pPr>
                                  <w:spacing w:line="215" w:lineRule="auto"/>
                                  <w:ind w:left="90" w:firstLine="360"/>
                                  <w:jc w:val="both"/>
                                  <w:textDirection w:val="btLr"/>
                                </w:pPr>
                                <w:r>
                                  <w:rPr>
                                    <w:color w:val="000000"/>
                                    <w:sz w:val="16"/>
                                  </w:rPr>
                                  <w:t>Propõe respostas e respectivas medidas de controle a serem implementadas</w:t>
                                </w:r>
                              </w:p>
                            </w:txbxContent>
                          </v:textbox>
                        </v:rect>
                      </v:group>
                    </v:group>
                  </v:group>
                </v:group>
                <w10:anchorlock/>
              </v:group>
            </w:pict>
          </mc:Fallback>
        </mc:AlternateConten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Fonte: CODCON - Coordenadoria de Controle (2026)</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CDC possui uma estrutura integrada de gerenciamento de riscos e controles internos, exercida a partir da lógica das três linhas do IIA 2020, proposto pelo </w:t>
      </w:r>
      <w:r>
        <w:rPr>
          <w:i/>
          <w:iCs/>
          <w:color w:val="000000"/>
        </w:rPr>
        <w:t>The Institute of Internal Auditors</w:t>
      </w:r>
      <w:r>
        <w:rPr>
          <w:color w:val="000000"/>
        </w:rPr>
        <w:t>.</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 A primeira linha é realizada pelos gestores das unidades que são os responsáveis diretos pelos processos e têm a responsabilidade sobre os riscos. Já a segunda linha é realizada pela Coordenadoria de Controle (CODCON), com auxilio do Comitê de Gestão de Riscos, da Comissão de Ética e da Comissão de Correição, e contempla as funções que monitoram de forma integrada a gestão de riscos e controle interno. Por último, a terceira linha é realizada pela auditoria interna, que oferece avaliações independentes. </w:t>
      </w:r>
    </w:p>
    <w:p w:rsidR="003073A4" w:rsidRDefault="000545DD">
      <w:pPr>
        <w:pBdr>
          <w:top w:val="nil"/>
          <w:left w:val="nil"/>
          <w:bottom w:val="nil"/>
          <w:right w:val="nil"/>
          <w:between w:val="nil"/>
        </w:pBdr>
        <w:spacing w:before="120" w:after="120" w:line="360" w:lineRule="auto"/>
        <w:jc w:val="both"/>
        <w:rPr>
          <w:color w:val="000000"/>
        </w:rPr>
      </w:pPr>
      <w:r>
        <w:rPr>
          <w:color w:val="000000"/>
        </w:rPr>
        <w:lastRenderedPageBreak/>
        <w:t>O Comitê de Gerenciamento de Riscos da CDC possui, como atribuição, em apoio à Coordenadoria de Controle, facilitar a implementação do processo e da cultura de Gestão de Riscos na Companhia, promovendo a educação das áreas de negócios com relação à importância da identificação, tratamento e monitoramento preventivo de riscos do negócio, riscos estratégicos e riscos à integridade da empresa.</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Além da gestão, o controle e fiscalização são exercidos pelo Conselho de Administração (CONSAD) e pelo Conselho fiscal (CONFIS), além de Comitê de Auditoria Estatutário (COAUD), de Comitê de Pessoas, Elegibilidade, Sucessão e Remuneração, Ouvidoria, auditoria externa independente trimestral, os quais visam aferir a adequação do controle interno, da correição e da efetividade do gerenciamento dos riscos e dos processos de governança. Existem, ainda, as estruturas externas, como a Controladoria Geral da União (CGU), Tribunal de Contas da União (TCU), Ministério Supervisor e Agência Reguladora, que realizam controle e fiscalização sobre as atividades da CDC.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existência e o funcionamento das estruturas de controle encontram-se melhor detalhados no sítio eletrônico da Companhia: </w:t>
      </w:r>
      <w:hyperlink r:id="rId24">
        <w:r>
          <w:rPr>
            <w:color w:val="000000"/>
            <w:u w:val="single"/>
          </w:rPr>
          <w:t>https://www.docasdoceara.com.br/governanca-corporativa</w:t>
        </w:r>
      </w:hyperlink>
      <w:r>
        <w:rPr>
          <w:color w:val="000000"/>
        </w:rPr>
        <w:t xml:space="preserve">. </w:t>
      </w:r>
    </w:p>
    <w:p w:rsidR="003073A4" w:rsidRDefault="000545DD">
      <w:pPr>
        <w:pBdr>
          <w:top w:val="nil"/>
          <w:left w:val="nil"/>
          <w:bottom w:val="nil"/>
          <w:right w:val="nil"/>
          <w:between w:val="nil"/>
        </w:pBdr>
        <w:spacing w:before="120" w:after="120" w:line="360" w:lineRule="auto"/>
        <w:jc w:val="both"/>
        <w:rPr>
          <w:color w:val="000000"/>
        </w:rPr>
      </w:pPr>
      <w:r>
        <w:rPr>
          <w:color w:val="000000"/>
        </w:rPr>
        <w:t>A estrutura abaixo representada compreende o sistema de Governança da CDC, que visa sistematizar o processo decisório da empresa com mecanismos de controle interno eficientes e gestão transparente e eficaz:</w:t>
      </w: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Figura 8 – Sistema de Governança da CDC</w:t>
      </w:r>
    </w:p>
    <w:p w:rsidR="003073A4" w:rsidRDefault="000545DD">
      <w:pPr>
        <w:pBdr>
          <w:top w:val="nil"/>
          <w:left w:val="nil"/>
          <w:bottom w:val="nil"/>
          <w:right w:val="nil"/>
          <w:between w:val="nil"/>
        </w:pBdr>
        <w:spacing w:before="120" w:after="120" w:line="360" w:lineRule="auto"/>
        <w:ind w:right="195"/>
        <w:jc w:val="center"/>
        <w:rPr>
          <w:color w:val="FF0000"/>
        </w:rPr>
      </w:pPr>
      <w:r>
        <w:rPr>
          <w:noProof/>
          <w:color w:val="FF0000"/>
        </w:rPr>
        <w:drawing>
          <wp:inline distT="0" distB="0" distL="0" distR="0">
            <wp:extent cx="6129452" cy="3205435"/>
            <wp:effectExtent l="19050" t="19050" r="19050" b="1905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129452" cy="3205435"/>
                    </a:xfrm>
                    <a:prstGeom prst="rect">
                      <a:avLst/>
                    </a:prstGeom>
                    <a:ln w="19050">
                      <a:solidFill>
                        <a:srgbClr val="000000"/>
                      </a:solidFill>
                      <a:prstDash val="solid"/>
                    </a:ln>
                  </pic:spPr>
                </pic:pic>
              </a:graphicData>
            </a:graphic>
          </wp:inline>
        </w:drawing>
      </w:r>
    </w:p>
    <w:p w:rsidR="003073A4" w:rsidRDefault="000545DD">
      <w:pPr>
        <w:pBdr>
          <w:top w:val="nil"/>
          <w:left w:val="nil"/>
          <w:bottom w:val="nil"/>
          <w:right w:val="nil"/>
          <w:between w:val="nil"/>
        </w:pBdr>
        <w:spacing w:before="120" w:after="240" w:line="360" w:lineRule="auto"/>
        <w:ind w:right="193"/>
        <w:jc w:val="both"/>
        <w:rPr>
          <w:i/>
          <w:iCs/>
          <w:color w:val="000000"/>
          <w:sz w:val="18"/>
          <w:szCs w:val="18"/>
        </w:rPr>
      </w:pPr>
      <w:r>
        <w:rPr>
          <w:color w:val="000000"/>
          <w:sz w:val="18"/>
          <w:szCs w:val="18"/>
        </w:rPr>
        <w:t>Fonte: CODCON - Coordenadoria de Controle (2026)</w:t>
      </w:r>
    </w:p>
    <w:p w:rsidR="003073A4" w:rsidRDefault="000545DD">
      <w:pPr>
        <w:pBdr>
          <w:top w:val="nil"/>
          <w:left w:val="nil"/>
          <w:bottom w:val="nil"/>
          <w:right w:val="nil"/>
          <w:between w:val="nil"/>
        </w:pBdr>
        <w:spacing w:before="120" w:after="120" w:line="360" w:lineRule="auto"/>
        <w:jc w:val="both"/>
        <w:rPr>
          <w:color w:val="000000"/>
        </w:rPr>
      </w:pPr>
      <w:r>
        <w:rPr>
          <w:color w:val="000000"/>
        </w:rPr>
        <w:lastRenderedPageBreak/>
        <w:t xml:space="preserve">Não houve alterações na Política de Gestão de Riscos e Controles Internos em 2025. Já em relação aos riscos de integridade, estes foram atualizados no 1º semestre de 2025. No período, a CDC contava com 22 (vinte e dois) riscos à integridade. </w:t>
      </w:r>
    </w:p>
    <w:p w:rsidR="003073A4" w:rsidRDefault="000545DD">
      <w:pPr>
        <w:pBdr>
          <w:top w:val="nil"/>
          <w:left w:val="nil"/>
          <w:bottom w:val="nil"/>
          <w:right w:val="nil"/>
          <w:between w:val="nil"/>
        </w:pBdr>
        <w:spacing w:before="120" w:after="120" w:line="360" w:lineRule="auto"/>
        <w:jc w:val="both"/>
        <w:rPr>
          <w:color w:val="000000"/>
        </w:rPr>
      </w:pPr>
      <w:r>
        <w:rPr>
          <w:color w:val="000000"/>
        </w:rPr>
        <w:t>A Declaração de Apetite a Riscos da CDC apresenta as quantidades e os limites toleráveis de riscos que a empresa está disposta a suportar, contendo as diretrizes gerais de apetite a riscos e eventuais tolerâncias como forma de gerenciar os riscos que possam comprometer o atingimento dos objetivos da empresa.</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Referida declaração pode ser visualizada através do link: </w:t>
      </w:r>
      <w:hyperlink r:id="rId26">
        <w:r>
          <w:rPr>
            <w:color w:val="000000"/>
            <w:u w:val="single"/>
          </w:rPr>
          <w:t>http://www.docasdoceara.com.br/governanca-corporativa</w:t>
        </w:r>
      </w:hyperlink>
      <w:r>
        <w:rPr>
          <w:color w:val="000000"/>
        </w:rPr>
        <w:t>, no item referente a gestão de riscos.</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Nesse contexto, cabe à área de riscos o acompanhamento periódico dos riscos com nível de criticidade altos/extremos, </w:t>
      </w:r>
      <w:r w:rsidR="00B27C0F">
        <w:rPr>
          <w:color w:val="000000"/>
        </w:rPr>
        <w:t>com verificação</w:t>
      </w:r>
      <w:r>
        <w:rPr>
          <w:color w:val="000000"/>
        </w:rPr>
        <w:t xml:space="preserve"> da implementação dos planos de ação de controle previstos e ainda não implantados, com posterior reporte dos resultados à Alta Administração.</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No processo de avaliação de riscos do 1.º Semestre de 2025, a CDC mapeou um total de 143 riscos, conforme as categorias: riscos à integridade (22), riscos estratégicos (26) e riscos de processos (95). </w:t>
      </w:r>
    </w:p>
    <w:p w:rsidR="003073A4" w:rsidRDefault="000545DD">
      <w:pPr>
        <w:pBdr>
          <w:top w:val="nil"/>
          <w:left w:val="nil"/>
          <w:bottom w:val="nil"/>
          <w:right w:val="nil"/>
          <w:between w:val="nil"/>
        </w:pBdr>
        <w:spacing w:before="120" w:after="120" w:line="360" w:lineRule="auto"/>
        <w:jc w:val="both"/>
        <w:rPr>
          <w:color w:val="000000"/>
        </w:rPr>
      </w:pPr>
      <w:r>
        <w:rPr>
          <w:color w:val="000000"/>
        </w:rPr>
        <w:t>Todos os riscos mapeados são acompanhados e tratados de forma a não concretização dos eventos de riscos, sendo estabelecidos os devidos planos de controle, a fim de minorar a probabilidade de concretização deles.</w:t>
      </w:r>
    </w:p>
    <w:p w:rsidR="003073A4" w:rsidRDefault="000545DD">
      <w:pPr>
        <w:pBdr>
          <w:top w:val="nil"/>
          <w:left w:val="nil"/>
          <w:bottom w:val="nil"/>
          <w:right w:val="nil"/>
          <w:between w:val="nil"/>
        </w:pBdr>
        <w:tabs>
          <w:tab w:val="left" w:pos="8735"/>
        </w:tabs>
        <w:spacing w:before="120" w:after="120" w:line="360" w:lineRule="auto"/>
        <w:ind w:right="195"/>
        <w:jc w:val="both"/>
        <w:rPr>
          <w:color w:val="000000"/>
        </w:rPr>
      </w:pPr>
      <w:r>
        <w:rPr>
          <w:color w:val="000000"/>
        </w:rPr>
        <w:t>Em relação aos controles adotados na elaboração das demonstrações financeiras, temos que as mesmas seguem as normas contábeis aplicáveis, sendo observadas as regras de escrituração e elaboração contidas na Lei nº 6.404, de 15 de dezembro de 1976 e nas normas da Comissão de Valores Mobiliários. As demonstrações financeiras são elaboradas trimestralmente, divulgadas em sítio eletrônico e auditadas por auditoria independente, através de auditor com registro na Comissão de Valores Mobiliários (CVM).</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Já em relação à atuação do Comitê de Auditoria (COAUD), órgão de assessoramento ao Conselho de Administração, cabe, dentre outras atribuições, a supervisão da elaboração das demonstrações financeiras, com monitoramento periódico da qualidade destas demonstrações, dos controles internos, da conformidade, do gerenciamento de riscos e das auditorias interna e independente.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 citado Comitê também emite relatório anual com informações sobre as atividades, os resultados, as conclusões e suas recomendações, registrando, se houver, as divergências significativas entre administração, auditoria independente e o próprio Comitê de Auditoria Estatutário, em relação às demonstrações financeiras.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 Comitê de Auditoria Estatutário opina, ainda, sobre a contratação e destituição de auditor </w:t>
      </w:r>
      <w:r>
        <w:rPr>
          <w:color w:val="000000"/>
        </w:rPr>
        <w:lastRenderedPageBreak/>
        <w:t xml:space="preserve">independente, supervisiona suas atividades, avalia sua independência, a qualidade dos serviços prestados e a adequação de tais serviços às necessidades da empresa. </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 xml:space="preserve">As atas do referido Comitê, bem como sua composição, estão disponíveis no sítio eletrônico </w:t>
      </w:r>
      <w:hyperlink r:id="rId27">
        <w:r>
          <w:rPr>
            <w:color w:val="000000"/>
            <w:u w:val="single"/>
          </w:rPr>
          <w:t>http://www.docasdoceara.com.br/comite-de-auditoria</w:t>
        </w:r>
      </w:hyperlink>
      <w:r>
        <w:rPr>
          <w:color w:val="000000"/>
        </w:rPr>
        <w:t>.</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CDC procedeu com a padronização do canal de denúncias que são direcionadas ao Comitê de Auditoria Estatutário (COAUD).   A   padronização, além de orientar a formulação de denúncia ao COAUD, também aperfeiçoa a Governança, estando em conformidade com a Lei 13.303/2016, art. 24, § 2º e com o Decreto 8.945/2016, art. 38, §2º. A padronização do canal pode ser verificada através do link: </w:t>
      </w:r>
      <w:hyperlink r:id="rId28">
        <w:r>
          <w:rPr>
            <w:color w:val="000000"/>
            <w:u w:val="single"/>
          </w:rPr>
          <w:t>http://www.docasdoceara.com.br/comite-de-auditoria</w:t>
        </w:r>
      </w:hyperlink>
      <w:r>
        <w:rPr>
          <w:color w:val="000000"/>
          <w:u w:val="single"/>
        </w:rPr>
        <w:t>.</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Uma vez havendo recomendações, seja pelo Comitê de Auditoria, Auditoria Interna ou Externa ou pelo Conselho Fiscal, a CDC adota todas as providências cabíveis para restar em consonância com as melhores práticas contábeis, fazendo os registros contábeis pertinentes.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Outro mecanismo de controle utilizado é a avaliação dos controles internos e da confiabilidade do processo de coleta, mensuração, classificação, acumulação, registro e divulgação de eventos e transações, visando o preparo de demonstrações financeiras realizado pela Auditoria Interna da empresa.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Os Conselhos de Administração e Fiscal analisam, periodicamente, o balancete e demais demonstrações financeiras elaboradas pela Companhia, sem contar com a atuação do Conselho Fiscal que, inclusive, opina sobre o relatório anual da administração e sobre as demonstrações financeiras. No decorrer do exercício, em seu mister de fiscalização, o Conselho Fiscal faz recomendações quanto aos registros contábeis, sendo assessorado, ainda, por empresa de assessoria contábil contratada pela CDC.  </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As atas dos referidos Conselhos, bem como sua composição estão disponíveis nos sítios eletrônicos </w:t>
      </w:r>
      <w:hyperlink r:id="rId29">
        <w:r>
          <w:rPr>
            <w:color w:val="000000"/>
            <w:u w:val="single"/>
          </w:rPr>
          <w:t>http://www.docasdoceara.com.br/conselho-administracao</w:t>
        </w:r>
      </w:hyperlink>
      <w:r>
        <w:rPr>
          <w:color w:val="000000"/>
        </w:rPr>
        <w:t xml:space="preserve"> e </w:t>
      </w:r>
      <w:hyperlink r:id="rId30">
        <w:r>
          <w:rPr>
            <w:color w:val="000000"/>
            <w:u w:val="single"/>
          </w:rPr>
          <w:t>http://www.docasdoceara.com.br/conselho-fiscal</w:t>
        </w:r>
      </w:hyperlink>
      <w:r>
        <w:rPr>
          <w:color w:val="000000"/>
        </w:rPr>
        <w:t xml:space="preserve">. </w:t>
      </w:r>
    </w:p>
    <w:p w:rsidR="003073A4" w:rsidRDefault="003073A4">
      <w:pPr>
        <w:pBdr>
          <w:top w:val="nil"/>
          <w:left w:val="nil"/>
          <w:bottom w:val="nil"/>
          <w:right w:val="nil"/>
          <w:between w:val="nil"/>
        </w:pBdr>
        <w:spacing w:before="120" w:after="120" w:line="360" w:lineRule="auto"/>
        <w:jc w:val="both"/>
        <w:rPr>
          <w:color w:val="FF0000"/>
        </w:rPr>
      </w:pPr>
    </w:p>
    <w:p w:rsidR="003073A4" w:rsidRDefault="000545DD">
      <w:pPr>
        <w:numPr>
          <w:ilvl w:val="1"/>
          <w:numId w:val="9"/>
        </w:numPr>
        <w:pBdr>
          <w:top w:val="nil"/>
          <w:left w:val="nil"/>
          <w:bottom w:val="nil"/>
          <w:right w:val="nil"/>
          <w:between w:val="nil"/>
        </w:pBdr>
        <w:spacing w:before="120" w:after="120"/>
        <w:jc w:val="both"/>
        <w:rPr>
          <w:b/>
          <w:bCs/>
          <w:color w:val="000000"/>
          <w:sz w:val="32"/>
          <w:szCs w:val="32"/>
        </w:rPr>
      </w:pPr>
      <w:r>
        <w:rPr>
          <w:b/>
          <w:bCs/>
          <w:color w:val="000000"/>
          <w:sz w:val="32"/>
          <w:szCs w:val="32"/>
        </w:rPr>
        <w:t>Fatores de risco</w:t>
      </w:r>
    </w:p>
    <w:p w:rsidR="003073A4" w:rsidRDefault="000545DD">
      <w:pPr>
        <w:spacing w:before="120" w:after="120" w:line="360" w:lineRule="auto"/>
        <w:ind w:right="193"/>
        <w:jc w:val="both"/>
      </w:pPr>
      <w:r>
        <w:t>Em abril de 2025, com o objetivo de identificar possíveis mudanças nos contextos externo e interno que possam demandar novas ações ou redefinição de prioridades no tratamento dos riscos, conduziu, o Comitê de Riscos procedeu a revisão dos riscos de integridade.</w:t>
      </w:r>
    </w:p>
    <w:p w:rsidR="003073A4" w:rsidRDefault="000545DD">
      <w:pPr>
        <w:pBdr>
          <w:top w:val="nil"/>
          <w:left w:val="nil"/>
          <w:bottom w:val="nil"/>
          <w:right w:val="nil"/>
          <w:between w:val="nil"/>
        </w:pBdr>
        <w:spacing w:before="120" w:after="120" w:line="360" w:lineRule="auto"/>
        <w:ind w:right="195"/>
        <w:jc w:val="both"/>
      </w:pPr>
      <w:r>
        <w:t>As principais alterações realizadas foram:</w:t>
      </w:r>
    </w:p>
    <w:p w:rsidR="003073A4" w:rsidRDefault="000545DD">
      <w:pPr>
        <w:widowControl/>
        <w:numPr>
          <w:ilvl w:val="0"/>
          <w:numId w:val="8"/>
        </w:numPr>
        <w:spacing w:before="120" w:after="120" w:line="360" w:lineRule="auto"/>
        <w:ind w:left="714" w:hanging="357"/>
        <w:jc w:val="both"/>
      </w:pPr>
      <w:r>
        <w:lastRenderedPageBreak/>
        <w:t>Inserção de novas ações de controle voltadas à mitigação dos riscos. Algumas dessas ações estavam previstas no Programa de Integridade de 2025, enquanto outras foram propostas aos setores pelo Comitê de Riscos;</w:t>
      </w:r>
    </w:p>
    <w:p w:rsidR="003073A4" w:rsidRDefault="000545DD">
      <w:pPr>
        <w:widowControl/>
        <w:numPr>
          <w:ilvl w:val="0"/>
          <w:numId w:val="8"/>
        </w:numPr>
        <w:spacing w:before="120" w:after="120" w:line="360" w:lineRule="auto"/>
        <w:ind w:left="714" w:hanging="357"/>
        <w:jc w:val="both"/>
      </w:pPr>
      <w:r>
        <w:t>Atualização das causas e consequências associadas a determinados riscos;</w:t>
      </w:r>
    </w:p>
    <w:p w:rsidR="003073A4" w:rsidRDefault="000545DD">
      <w:pPr>
        <w:widowControl/>
        <w:numPr>
          <w:ilvl w:val="0"/>
          <w:numId w:val="8"/>
        </w:numPr>
        <w:spacing w:before="120" w:after="120" w:line="360" w:lineRule="auto"/>
        <w:jc w:val="both"/>
      </w:pPr>
      <w:r>
        <w:t>Alteração da nomenclatura do risco “Recebimento de presentes/vantagens indevidas” para “Recebimento de presentes/vantagens de quem tenha interesse em decisão do agente público ou de colegiado do qual este participe, fora dos limites e condições estabelecidos em regulamento”;</w:t>
      </w:r>
    </w:p>
    <w:p w:rsidR="003073A4" w:rsidRDefault="000545DD">
      <w:pPr>
        <w:widowControl/>
        <w:numPr>
          <w:ilvl w:val="0"/>
          <w:numId w:val="8"/>
        </w:numPr>
        <w:spacing w:before="120" w:after="120" w:line="360" w:lineRule="auto"/>
        <w:jc w:val="both"/>
      </w:pPr>
      <w:r>
        <w:t>Mapeamento de novos riscos: Descumprimento da Lei de Acesso à Informação e de normas de transparência; Análise equivocada dos processos; Limitação Orçamentária/Financeira; Apuração Parcial de Ilícitos; Falha na elaboração da Pesquisa de Preço; Falha na elaboração do Termo de Referência ou Projeto Básico.</w:t>
      </w:r>
    </w:p>
    <w:p w:rsidR="00656365" w:rsidRPr="00656365" w:rsidRDefault="00656365" w:rsidP="008F1754">
      <w:pPr>
        <w:spacing w:before="120" w:after="120" w:line="360" w:lineRule="auto"/>
        <w:ind w:right="-1"/>
        <w:jc w:val="both"/>
        <w:rPr>
          <w:color w:val="000000"/>
          <w:sz w:val="24"/>
          <w:szCs w:val="24"/>
        </w:rPr>
      </w:pPr>
      <w:r>
        <w:t>Destaca-se que algumas ações previstas foram concluídas pelas áreas responsáveis pela integridade, incluindo a elaboração e publicação de normativos que contribuem diretamente para a mitigação dos riscos identificados.</w:t>
      </w:r>
    </w:p>
    <w:p w:rsidR="00086553" w:rsidRPr="00693215" w:rsidRDefault="00086553" w:rsidP="008F1754">
      <w:pPr>
        <w:spacing w:before="120" w:after="120" w:line="360" w:lineRule="auto"/>
        <w:ind w:right="-1"/>
        <w:jc w:val="both"/>
      </w:pPr>
      <w:r w:rsidRPr="00693215">
        <w:t>No âmbito de sua atuação institucional, a Companhia Docas do Ceará está sujeita a um conjunto de riscos inerentes à natureza de suas atividades, os quais são permanentemente monitorados e gerenciados à luz das melhores práticas de governança corporativa, destacando</w:t>
      </w:r>
      <w:r w:rsidR="008F1754" w:rsidRPr="00693215">
        <w:t>-</w:t>
      </w:r>
      <w:r w:rsidRPr="00693215">
        <w:t>se:</w:t>
      </w:r>
    </w:p>
    <w:p w:rsidR="00086553" w:rsidRPr="00693215" w:rsidRDefault="00086553" w:rsidP="00086553">
      <w:pPr>
        <w:spacing w:before="120" w:after="120" w:line="360" w:lineRule="auto"/>
        <w:ind w:right="193"/>
        <w:jc w:val="both"/>
        <w:rPr>
          <w:b/>
          <w:u w:val="single"/>
        </w:rPr>
      </w:pPr>
      <w:r w:rsidRPr="00693215">
        <w:rPr>
          <w:b/>
          <w:u w:val="single"/>
        </w:rPr>
        <w:t>Riscos Regulatórios</w:t>
      </w:r>
    </w:p>
    <w:p w:rsidR="00086553" w:rsidRPr="00693215" w:rsidRDefault="00086553" w:rsidP="008F1754">
      <w:pPr>
        <w:spacing w:before="120" w:after="120" w:line="360" w:lineRule="auto"/>
        <w:ind w:right="-1"/>
        <w:jc w:val="both"/>
      </w:pPr>
      <w:r w:rsidRPr="00693215">
        <w:t>Caracterizados pela dependência de autorizações, diretrizes e políticas públicas estabelecidas pelo Ministério de Portos e Aeroportos, bem como pelos impactos decorrentes de decisões e normativos expedidos pela ANTAQ, que podem influenciar diretamente a operação, os investime</w:t>
      </w:r>
      <w:r w:rsidR="008F1754" w:rsidRPr="00693215">
        <w:t>ntos e a dinâmica tarifária do P</w:t>
      </w:r>
      <w:r w:rsidRPr="00693215">
        <w:t xml:space="preserve">orto. Exemplos </w:t>
      </w:r>
      <w:r w:rsidR="008F1754" w:rsidRPr="00693215">
        <w:t>são o atraso/burocracia para o l</w:t>
      </w:r>
      <w:r w:rsidRPr="00693215">
        <w:t>eilão das áreas, o deferimento dos reajustes tarifários, etc.</w:t>
      </w:r>
    </w:p>
    <w:p w:rsidR="00086553" w:rsidRPr="00693215" w:rsidRDefault="00086553" w:rsidP="00086553">
      <w:pPr>
        <w:spacing w:before="120" w:after="120" w:line="360" w:lineRule="auto"/>
        <w:ind w:right="193"/>
        <w:jc w:val="both"/>
        <w:rPr>
          <w:b/>
          <w:u w:val="single"/>
        </w:rPr>
      </w:pPr>
      <w:r w:rsidRPr="00693215">
        <w:rPr>
          <w:b/>
          <w:u w:val="single"/>
        </w:rPr>
        <w:t>Riscos Operacionais</w:t>
      </w:r>
    </w:p>
    <w:p w:rsidR="00086553" w:rsidRPr="00693215" w:rsidRDefault="00086553" w:rsidP="008F1754">
      <w:pPr>
        <w:spacing w:before="120" w:after="120" w:line="360" w:lineRule="auto"/>
        <w:ind w:right="-1"/>
        <w:jc w:val="both"/>
      </w:pPr>
      <w:r w:rsidRPr="00693215">
        <w:t>No campo operacional, a Companhia está exposta a riscos associados a eventuais limitações da infraestrutura portuária disponível, bem como à dependência de condições climáticas e marítimas, fatores que podem afetar a regularidade, a eficiência e a capacidade das operações portuárias, exigindo constante planejamento e ações de manutenção, modernização e adaptação. Nesse item, ressaltamos a dificuldade de eventos na execução de obras de infraestrutura.</w:t>
      </w:r>
    </w:p>
    <w:p w:rsidR="00086553" w:rsidRPr="00693215" w:rsidRDefault="00086553" w:rsidP="00086553">
      <w:pPr>
        <w:spacing w:before="120" w:after="120" w:line="360" w:lineRule="auto"/>
        <w:ind w:right="193"/>
        <w:jc w:val="both"/>
        <w:rPr>
          <w:b/>
          <w:u w:val="single"/>
        </w:rPr>
      </w:pPr>
      <w:r w:rsidRPr="00693215">
        <w:rPr>
          <w:b/>
          <w:u w:val="single"/>
        </w:rPr>
        <w:t>Riscos Econômico-Financeiros</w:t>
      </w:r>
    </w:p>
    <w:p w:rsidR="00656365" w:rsidRPr="00693215" w:rsidRDefault="00086553" w:rsidP="00656365">
      <w:pPr>
        <w:spacing w:before="240" w:after="240" w:line="360" w:lineRule="auto"/>
        <w:jc w:val="both"/>
      </w:pPr>
      <w:r w:rsidRPr="00693215">
        <w:lastRenderedPageBreak/>
        <w:t>Sob a perspectiva econômico financeira, destacam</w:t>
      </w:r>
      <w:r w:rsidR="008F1754" w:rsidRPr="00693215">
        <w:t>-</w:t>
      </w:r>
      <w:r w:rsidRPr="00693215">
        <w:t xml:space="preserve">se os riscos relacionados à volatilidade da movimentação de cargas, influenciada por fatores macroeconômicos e setoriais, bem como a concentração em determinados perfis de carga, notadamente granéis líquidos, o que pode impactar a estabilidade das receitas e a previsibilidade dos resultados da Companhia. </w:t>
      </w:r>
    </w:p>
    <w:p w:rsidR="00656365" w:rsidRPr="00693215" w:rsidRDefault="00656365" w:rsidP="00656365">
      <w:pPr>
        <w:spacing w:before="240" w:after="240" w:line="360" w:lineRule="auto"/>
        <w:jc w:val="both"/>
      </w:pPr>
      <w:r w:rsidRPr="00693215">
        <w:t>Adicionalmente, a Companhia monitora o risco estratégico relacionado à possível transferência do parque de tancagem atualmente instalado no Porto do Mucuripe para o Porto do Pecém. Essa operação, caso concretizada, implicaria redução relevante no volume de movimentação de granéis líquidos no Porto de Fortaleza, com impacto direto sobre as receitas tarifárias da CDC, dado que os granéis líquidos representaram 50,33% do total de cargas movimentadas no exercício de 2025. A Companhia acompanha as discussões sobre o tema junto ao Ministério de Portos e Aeroportos e aos agentes do setor, avaliando continuamente os cenários possíveis e seus reflexos sobre o planejamento estratégico e a sustentabilidade financeira da Companhia, de forma a subsidiar a tomada de decisão tempestiva pela Alta Administração.</w:t>
      </w:r>
    </w:p>
    <w:p w:rsidR="00086553" w:rsidRPr="00693215" w:rsidRDefault="00086553" w:rsidP="00086553">
      <w:pPr>
        <w:spacing w:before="120" w:after="120" w:line="360" w:lineRule="auto"/>
        <w:ind w:right="193"/>
        <w:jc w:val="both"/>
        <w:rPr>
          <w:b/>
          <w:u w:val="single"/>
        </w:rPr>
      </w:pPr>
      <w:r w:rsidRPr="00693215">
        <w:rPr>
          <w:b/>
          <w:u w:val="single"/>
        </w:rPr>
        <w:t>Riscos de Mercado</w:t>
      </w:r>
    </w:p>
    <w:p w:rsidR="00656365" w:rsidRPr="00693215" w:rsidRDefault="00656365" w:rsidP="00086553">
      <w:pPr>
        <w:spacing w:before="120" w:after="120" w:line="360" w:lineRule="auto"/>
        <w:ind w:right="193"/>
        <w:jc w:val="both"/>
      </w:pPr>
      <w:r w:rsidRPr="00693215">
        <w:t>No que se refere aos riscos de mercado, evidencia</w:t>
      </w:r>
      <w:r w:rsidR="00886E0D" w:rsidRPr="00693215">
        <w:t>-</w:t>
      </w:r>
      <w:r w:rsidRPr="00693215">
        <w:t>se a crescente concorrência com outros portos da região, especialmente aqueles operados sob regime privado ou com maior flexibilidade operacional, além das mudanças estruturais na matriz logística nacional, que podem alterar fluxos de carga, rotas comerciais e decisões de operadores e usuários do sistema portuário.</w:t>
      </w:r>
    </w:p>
    <w:p w:rsidR="00086553" w:rsidRPr="00693215" w:rsidRDefault="00086553" w:rsidP="00086553">
      <w:pPr>
        <w:spacing w:before="120" w:after="120" w:line="360" w:lineRule="auto"/>
        <w:ind w:right="193"/>
        <w:jc w:val="both"/>
        <w:rPr>
          <w:b/>
          <w:u w:val="single"/>
        </w:rPr>
      </w:pPr>
      <w:r w:rsidRPr="00693215">
        <w:rPr>
          <w:b/>
          <w:u w:val="single"/>
        </w:rPr>
        <w:t>Riscos ESG</w:t>
      </w:r>
    </w:p>
    <w:p w:rsidR="00086553" w:rsidRPr="00693215" w:rsidRDefault="00656365" w:rsidP="00086553">
      <w:pPr>
        <w:spacing w:before="120" w:after="120" w:line="360" w:lineRule="auto"/>
        <w:ind w:right="193"/>
        <w:jc w:val="both"/>
      </w:pPr>
      <w:r w:rsidRPr="00693215">
        <w:t>No âmbito dos riscos ambientais, sociais e de governança, destacam se as pressões regulatórias ambientais cada vez mais rigorosas, bem como a necessidade de adaptação progressiva à transição energética e às demandas por operações mais sustentáveis, o que requer investimentos contínuos, inovação e aprimoramento das práticas institucionais.</w:t>
      </w:r>
    </w:p>
    <w:p w:rsidR="003073A4" w:rsidRPr="00693215" w:rsidRDefault="00656365" w:rsidP="00656365">
      <w:pPr>
        <w:spacing w:line="360" w:lineRule="auto"/>
        <w:jc w:val="both"/>
        <w:rPr>
          <w:sz w:val="10"/>
          <w:szCs w:val="10"/>
        </w:rPr>
      </w:pPr>
      <w:r w:rsidRPr="00693215">
        <w:t>Para o enfrentamento desses riscos, a Companhia adota medidas de mitigação baseadas em planejamento estratégico, fortalecimento dos mecanismos de governança, gestão integrada de riscos e monitoramento contínuo de seus ambientes interno e externo, de modo a assegurar a resiliência operacional, a sustentabilidade econômico financeira e a aderência às políticas públicas que orientam sua atuação.</w:t>
      </w:r>
    </w:p>
    <w:p w:rsidR="003073A4" w:rsidRDefault="000545DD">
      <w:pPr>
        <w:numPr>
          <w:ilvl w:val="1"/>
          <w:numId w:val="9"/>
        </w:numPr>
        <w:pBdr>
          <w:top w:val="nil"/>
          <w:left w:val="nil"/>
          <w:bottom w:val="nil"/>
          <w:right w:val="nil"/>
          <w:between w:val="nil"/>
        </w:pBdr>
        <w:spacing w:before="120" w:after="120"/>
        <w:jc w:val="both"/>
        <w:rPr>
          <w:b/>
          <w:bCs/>
          <w:color w:val="000000"/>
          <w:sz w:val="32"/>
          <w:szCs w:val="32"/>
        </w:rPr>
      </w:pPr>
      <w:r>
        <w:rPr>
          <w:b/>
          <w:bCs/>
          <w:color w:val="000000"/>
          <w:sz w:val="32"/>
          <w:szCs w:val="32"/>
        </w:rPr>
        <w:t>Dados econômico-financeiros e comentários sobre o desempenho</w:t>
      </w:r>
    </w:p>
    <w:p w:rsidR="003073A4" w:rsidRDefault="003073A4">
      <w:pPr>
        <w:pBdr>
          <w:top w:val="nil"/>
          <w:left w:val="nil"/>
          <w:bottom w:val="nil"/>
          <w:right w:val="nil"/>
          <w:between w:val="nil"/>
        </w:pBdr>
        <w:spacing w:before="120" w:after="120"/>
        <w:ind w:left="942" w:hanging="709"/>
        <w:jc w:val="both"/>
        <w:rPr>
          <w:b/>
          <w:bCs/>
          <w:color w:val="FF0000"/>
          <w:sz w:val="10"/>
          <w:szCs w:val="10"/>
        </w:rPr>
      </w:pPr>
    </w:p>
    <w:p w:rsidR="003073A4" w:rsidRDefault="000545DD">
      <w:pPr>
        <w:spacing w:before="240" w:after="240" w:line="360" w:lineRule="auto"/>
        <w:jc w:val="both"/>
      </w:pPr>
      <w:r>
        <w:t xml:space="preserve">O desempenho econômico-financeiro da CDC no exercício de 2025 reflete os esforços da Diretoria </w:t>
      </w:r>
      <w:r>
        <w:lastRenderedPageBreak/>
        <w:t>Executiva e dos Conselhos de Administração e Fiscal para a manutenção do equilíbrio financeiro, com foco no controle e na otimização de receitas e despesas, sem prejuízo à qualidade dos serviços prestados.</w:t>
      </w:r>
    </w:p>
    <w:p w:rsidR="003073A4" w:rsidRDefault="000545DD">
      <w:pPr>
        <w:spacing w:after="120" w:line="360" w:lineRule="auto"/>
        <w:jc w:val="both"/>
        <w:rPr>
          <w:color w:val="000000"/>
        </w:rPr>
      </w:pPr>
      <w:r>
        <w:rPr>
          <w:color w:val="000000"/>
        </w:rPr>
        <w:t xml:space="preserve">É importante contextualizar o panorama econômico em que esses resultados foram alcançados. A prévia do PIB mundial para 2025 aponta um crescimento moderado, estimado em torno de 3,2% pela OCDE, com o FMI sinalizando um avanço de 2,8%, aponta um leve crescimento </w:t>
      </w:r>
      <w:r w:rsidR="00656365">
        <w:rPr>
          <w:color w:val="000000"/>
        </w:rPr>
        <w:t>percentual em</w:t>
      </w:r>
      <w:r>
        <w:rPr>
          <w:color w:val="000000"/>
        </w:rPr>
        <w:t xml:space="preserve"> relação a 2024, mas ainda se verifica uma alta inflação, causada pelo aumento das demandas e preços de </w:t>
      </w:r>
      <w:r>
        <w:rPr>
          <w:i/>
          <w:iCs/>
          <w:color w:val="000000"/>
        </w:rPr>
        <w:t>commodities</w:t>
      </w:r>
      <w:r>
        <w:rPr>
          <w:color w:val="000000"/>
        </w:rPr>
        <w:t xml:space="preserve">. Outro elemento que deve ser citado para caracterizar o panorama econômico em que os resultados financeiros foram alcançados é o aumento global do valor do frete marítimo, assim como o alto valor do dólar, em relação ao real, no período de 2025. Por fim, é importante citar que a taxa Selic permaneceu elevada durante todo o exercício de 2025 e, com aumentos consecutivos, ocorridos no exercício, a mesma encerrou o ano em 15,00%. </w:t>
      </w:r>
    </w:p>
    <w:p w:rsidR="003073A4" w:rsidRDefault="000545DD">
      <w:pPr>
        <w:spacing w:after="120" w:line="360" w:lineRule="auto"/>
        <w:jc w:val="both"/>
        <w:rPr>
          <w:color w:val="000000"/>
        </w:rPr>
      </w:pPr>
      <w:r>
        <w:rPr>
          <w:color w:val="000000"/>
        </w:rPr>
        <w:t>A fim de ilustrar os resultados financeiros alcançados, destaca-se a performance do indicador EBITDA ajustado, que resultou em R$ 8,88</w:t>
      </w:r>
      <w:r>
        <w:t xml:space="preserve">6 </w:t>
      </w:r>
      <w:r>
        <w:rPr>
          <w:color w:val="000000"/>
        </w:rPr>
        <w:t xml:space="preserve"> mil, acumulado em 2025. </w:t>
      </w:r>
    </w:p>
    <w:p w:rsidR="003073A4" w:rsidRDefault="000545DD">
      <w:pPr>
        <w:pBdr>
          <w:top w:val="nil"/>
          <w:left w:val="nil"/>
          <w:bottom w:val="nil"/>
          <w:right w:val="nil"/>
          <w:between w:val="nil"/>
        </w:pBdr>
        <w:spacing w:before="120" w:after="120" w:line="360" w:lineRule="auto"/>
        <w:ind w:right="195"/>
        <w:jc w:val="both"/>
        <w:rPr>
          <w:i/>
          <w:iCs/>
          <w:color w:val="000000"/>
          <w:sz w:val="18"/>
          <w:szCs w:val="18"/>
        </w:rPr>
      </w:pPr>
      <w:r>
        <w:rPr>
          <w:color w:val="000000"/>
          <w:sz w:val="18"/>
          <w:szCs w:val="18"/>
        </w:rPr>
        <w:t>Tabela 12 –  Evolução do indicador EBITDA ajustado da CDC- 2021-2025</w:t>
      </w:r>
    </w:p>
    <w:tbl>
      <w:tblPr>
        <w:tblStyle w:val="ae"/>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820"/>
        <w:gridCol w:w="754"/>
        <w:gridCol w:w="822"/>
        <w:gridCol w:w="754"/>
        <w:gridCol w:w="822"/>
        <w:gridCol w:w="915"/>
        <w:gridCol w:w="917"/>
        <w:gridCol w:w="938"/>
      </w:tblGrid>
      <w:tr w:rsidR="003073A4">
        <w:trPr>
          <w:trHeight w:val="315"/>
        </w:trPr>
        <w:tc>
          <w:tcPr>
            <w:tcW w:w="8920" w:type="dxa"/>
            <w:gridSpan w:val="9"/>
            <w:shd w:val="clear" w:color="auto" w:fill="203764"/>
            <w:vAlign w:val="center"/>
          </w:tcPr>
          <w:p w:rsidR="003073A4" w:rsidRDefault="000545DD">
            <w:pPr>
              <w:widowControl/>
              <w:jc w:val="center"/>
              <w:rPr>
                <w:b/>
                <w:bCs/>
                <w:color w:val="FFFFFF"/>
              </w:rPr>
            </w:pPr>
            <w:r>
              <w:rPr>
                <w:b/>
                <w:bCs/>
                <w:color w:val="FFFFFF"/>
              </w:rPr>
              <w:t>EVOLUÇÃO DO EBITDA AJUSTADO (ANO por R$ MIL)</w:t>
            </w:r>
          </w:p>
        </w:tc>
      </w:tr>
      <w:tr w:rsidR="003073A4">
        <w:trPr>
          <w:trHeight w:val="283"/>
        </w:trPr>
        <w:tc>
          <w:tcPr>
            <w:tcW w:w="2178" w:type="dxa"/>
            <w:shd w:val="clear" w:color="auto" w:fill="203764"/>
            <w:vAlign w:val="center"/>
          </w:tcPr>
          <w:p w:rsidR="003073A4" w:rsidRDefault="000545DD">
            <w:pPr>
              <w:widowControl/>
              <w:jc w:val="center"/>
              <w:rPr>
                <w:b/>
                <w:bCs/>
                <w:color w:val="FFFFFF"/>
              </w:rPr>
            </w:pPr>
            <w:r>
              <w:rPr>
                <w:b/>
                <w:bCs/>
                <w:color w:val="FFFFFF"/>
              </w:rPr>
              <w:t> ANO</w:t>
            </w:r>
          </w:p>
        </w:tc>
        <w:tc>
          <w:tcPr>
            <w:tcW w:w="820" w:type="dxa"/>
            <w:shd w:val="clear" w:color="auto" w:fill="203764"/>
            <w:vAlign w:val="center"/>
          </w:tcPr>
          <w:p w:rsidR="003073A4" w:rsidRDefault="000545DD">
            <w:pPr>
              <w:widowControl/>
              <w:jc w:val="center"/>
              <w:rPr>
                <w:b/>
                <w:bCs/>
                <w:color w:val="FFFFFF"/>
              </w:rPr>
            </w:pPr>
            <w:r>
              <w:rPr>
                <w:b/>
                <w:bCs/>
                <w:color w:val="FFFFFF"/>
              </w:rPr>
              <w:t>2021</w:t>
            </w:r>
          </w:p>
        </w:tc>
        <w:tc>
          <w:tcPr>
            <w:tcW w:w="754" w:type="dxa"/>
            <w:shd w:val="clear" w:color="auto" w:fill="203764"/>
            <w:vAlign w:val="center"/>
          </w:tcPr>
          <w:p w:rsidR="003073A4" w:rsidRDefault="000545DD">
            <w:pPr>
              <w:widowControl/>
              <w:jc w:val="center"/>
              <w:rPr>
                <w:b/>
                <w:bCs/>
                <w:color w:val="FFFFFF"/>
              </w:rPr>
            </w:pPr>
            <w:r>
              <w:rPr>
                <w:b/>
                <w:bCs/>
                <w:color w:val="FFFFFF"/>
              </w:rPr>
              <w:t>2022</w:t>
            </w:r>
          </w:p>
        </w:tc>
        <w:tc>
          <w:tcPr>
            <w:tcW w:w="822" w:type="dxa"/>
            <w:shd w:val="clear" w:color="auto" w:fill="203764"/>
            <w:vAlign w:val="center"/>
          </w:tcPr>
          <w:p w:rsidR="003073A4" w:rsidRDefault="000545DD">
            <w:pPr>
              <w:widowControl/>
              <w:jc w:val="center"/>
              <w:rPr>
                <w:b/>
                <w:bCs/>
                <w:color w:val="FFFFFF"/>
              </w:rPr>
            </w:pPr>
            <w:r>
              <w:rPr>
                <w:b/>
                <w:bCs/>
                <w:color w:val="FFFFFF"/>
              </w:rPr>
              <w:t>2023</w:t>
            </w:r>
          </w:p>
        </w:tc>
        <w:tc>
          <w:tcPr>
            <w:tcW w:w="754" w:type="dxa"/>
            <w:shd w:val="clear" w:color="auto" w:fill="203764"/>
            <w:vAlign w:val="center"/>
          </w:tcPr>
          <w:p w:rsidR="003073A4" w:rsidRDefault="000545DD">
            <w:pPr>
              <w:widowControl/>
              <w:jc w:val="center"/>
              <w:rPr>
                <w:b/>
                <w:bCs/>
                <w:color w:val="FFFFFF"/>
              </w:rPr>
            </w:pPr>
            <w:r>
              <w:rPr>
                <w:b/>
                <w:bCs/>
                <w:color w:val="FFFFFF"/>
              </w:rPr>
              <w:t>2024</w:t>
            </w:r>
          </w:p>
        </w:tc>
        <w:tc>
          <w:tcPr>
            <w:tcW w:w="822" w:type="dxa"/>
            <w:shd w:val="clear" w:color="auto" w:fill="203764"/>
            <w:vAlign w:val="center"/>
          </w:tcPr>
          <w:p w:rsidR="003073A4" w:rsidRDefault="000545DD">
            <w:pPr>
              <w:widowControl/>
              <w:jc w:val="center"/>
              <w:rPr>
                <w:b/>
                <w:bCs/>
                <w:color w:val="FFFFFF"/>
              </w:rPr>
            </w:pPr>
            <w:r>
              <w:rPr>
                <w:b/>
                <w:bCs/>
                <w:color w:val="FFFFFF"/>
              </w:rPr>
              <w:t>2025</w:t>
            </w:r>
          </w:p>
        </w:tc>
        <w:tc>
          <w:tcPr>
            <w:tcW w:w="915" w:type="dxa"/>
            <w:shd w:val="clear" w:color="auto" w:fill="203764"/>
            <w:vAlign w:val="center"/>
          </w:tcPr>
          <w:p w:rsidR="003073A4" w:rsidRDefault="000545DD">
            <w:pPr>
              <w:widowControl/>
              <w:jc w:val="center"/>
              <w:rPr>
                <w:b/>
                <w:bCs/>
                <w:color w:val="FFFFFF"/>
              </w:rPr>
            </w:pPr>
            <w:r>
              <w:rPr>
                <w:b/>
                <w:bCs/>
                <w:color w:val="FFFFFF"/>
              </w:rPr>
              <w:t>Δ 25/21%</w:t>
            </w:r>
          </w:p>
        </w:tc>
        <w:tc>
          <w:tcPr>
            <w:tcW w:w="917" w:type="dxa"/>
            <w:shd w:val="clear" w:color="auto" w:fill="203764"/>
            <w:vAlign w:val="center"/>
          </w:tcPr>
          <w:p w:rsidR="003073A4" w:rsidRDefault="000545DD">
            <w:pPr>
              <w:widowControl/>
              <w:jc w:val="center"/>
              <w:rPr>
                <w:b/>
                <w:bCs/>
                <w:color w:val="FFFFFF"/>
              </w:rPr>
            </w:pPr>
            <w:r>
              <w:rPr>
                <w:b/>
                <w:bCs/>
                <w:color w:val="FFFFFF"/>
              </w:rPr>
              <w:t>Δ 24/21%</w:t>
            </w:r>
          </w:p>
        </w:tc>
        <w:tc>
          <w:tcPr>
            <w:tcW w:w="938" w:type="dxa"/>
            <w:shd w:val="clear" w:color="auto" w:fill="203764"/>
            <w:vAlign w:val="center"/>
          </w:tcPr>
          <w:p w:rsidR="003073A4" w:rsidRDefault="000545DD">
            <w:pPr>
              <w:widowControl/>
              <w:jc w:val="center"/>
              <w:rPr>
                <w:b/>
                <w:bCs/>
                <w:color w:val="FFFFFF"/>
              </w:rPr>
            </w:pPr>
            <w:r>
              <w:rPr>
                <w:b/>
                <w:bCs/>
                <w:color w:val="FFFFFF"/>
              </w:rPr>
              <w:t>Δ 25/24%</w:t>
            </w:r>
          </w:p>
        </w:tc>
      </w:tr>
      <w:tr w:rsidR="003073A4">
        <w:trPr>
          <w:trHeight w:val="283"/>
        </w:trPr>
        <w:tc>
          <w:tcPr>
            <w:tcW w:w="2178" w:type="dxa"/>
            <w:shd w:val="clear" w:color="auto" w:fill="8496AF"/>
            <w:vAlign w:val="center"/>
          </w:tcPr>
          <w:p w:rsidR="003073A4" w:rsidRDefault="000545DD">
            <w:pPr>
              <w:widowControl/>
              <w:jc w:val="center"/>
              <w:rPr>
                <w:b/>
                <w:bCs/>
                <w:color w:val="FF0000"/>
              </w:rPr>
            </w:pPr>
            <w:r>
              <w:rPr>
                <w:b/>
                <w:bCs/>
              </w:rPr>
              <w:t>R$ (mil)</w:t>
            </w:r>
          </w:p>
        </w:tc>
        <w:tc>
          <w:tcPr>
            <w:tcW w:w="820" w:type="dxa"/>
            <w:shd w:val="clear" w:color="auto" w:fill="BEBEBE"/>
            <w:vAlign w:val="center"/>
          </w:tcPr>
          <w:p w:rsidR="003073A4" w:rsidRDefault="000545DD">
            <w:pPr>
              <w:widowControl/>
              <w:jc w:val="center"/>
            </w:pPr>
            <w:r>
              <w:t>9.387</w:t>
            </w:r>
          </w:p>
        </w:tc>
        <w:tc>
          <w:tcPr>
            <w:tcW w:w="754" w:type="dxa"/>
            <w:shd w:val="clear" w:color="auto" w:fill="BEBEBE"/>
            <w:vAlign w:val="center"/>
          </w:tcPr>
          <w:p w:rsidR="003073A4" w:rsidRDefault="000545DD">
            <w:pPr>
              <w:widowControl/>
              <w:jc w:val="center"/>
            </w:pPr>
            <w:r>
              <w:t>25.680</w:t>
            </w:r>
          </w:p>
        </w:tc>
        <w:tc>
          <w:tcPr>
            <w:tcW w:w="822" w:type="dxa"/>
            <w:shd w:val="clear" w:color="auto" w:fill="BEBEBE"/>
            <w:vAlign w:val="center"/>
          </w:tcPr>
          <w:p w:rsidR="003073A4" w:rsidRDefault="000545DD">
            <w:pPr>
              <w:widowControl/>
              <w:jc w:val="center"/>
            </w:pPr>
            <w:r>
              <w:t>25.558</w:t>
            </w:r>
          </w:p>
        </w:tc>
        <w:tc>
          <w:tcPr>
            <w:tcW w:w="754" w:type="dxa"/>
            <w:shd w:val="clear" w:color="auto" w:fill="BEBEBE"/>
            <w:vAlign w:val="center"/>
          </w:tcPr>
          <w:p w:rsidR="003073A4" w:rsidRDefault="000545DD">
            <w:pPr>
              <w:widowControl/>
              <w:jc w:val="center"/>
            </w:pPr>
            <w:r>
              <w:t>10.233</w:t>
            </w:r>
          </w:p>
        </w:tc>
        <w:tc>
          <w:tcPr>
            <w:tcW w:w="822" w:type="dxa"/>
            <w:shd w:val="clear" w:color="auto" w:fill="BEBEBE"/>
            <w:vAlign w:val="center"/>
          </w:tcPr>
          <w:p w:rsidR="003073A4" w:rsidRDefault="000545DD">
            <w:pPr>
              <w:widowControl/>
              <w:jc w:val="center"/>
            </w:pPr>
            <w:r>
              <w:t>8.886</w:t>
            </w:r>
          </w:p>
        </w:tc>
        <w:tc>
          <w:tcPr>
            <w:tcW w:w="915" w:type="dxa"/>
            <w:shd w:val="clear" w:color="auto" w:fill="BEBEBE"/>
            <w:vAlign w:val="center"/>
          </w:tcPr>
          <w:p w:rsidR="003073A4" w:rsidRDefault="000545DD">
            <w:pPr>
              <w:widowControl/>
              <w:jc w:val="center"/>
            </w:pPr>
            <w:r>
              <w:t>-5,35%</w:t>
            </w:r>
          </w:p>
        </w:tc>
        <w:tc>
          <w:tcPr>
            <w:tcW w:w="917" w:type="dxa"/>
            <w:shd w:val="clear" w:color="auto" w:fill="BEBEBE"/>
            <w:vAlign w:val="center"/>
          </w:tcPr>
          <w:p w:rsidR="003073A4" w:rsidRDefault="000545DD">
            <w:pPr>
              <w:widowControl/>
              <w:jc w:val="center"/>
            </w:pPr>
            <w:r>
              <w:t>9,01%</w:t>
            </w:r>
          </w:p>
        </w:tc>
        <w:tc>
          <w:tcPr>
            <w:tcW w:w="938" w:type="dxa"/>
            <w:shd w:val="clear" w:color="auto" w:fill="BEBEBE"/>
            <w:vAlign w:val="center"/>
          </w:tcPr>
          <w:p w:rsidR="003073A4" w:rsidRDefault="000545DD">
            <w:pPr>
              <w:widowControl/>
              <w:jc w:val="center"/>
            </w:pPr>
            <w:r>
              <w:t>-13,17%</w:t>
            </w:r>
          </w:p>
        </w:tc>
      </w:tr>
    </w:tbl>
    <w:p w:rsidR="003073A4" w:rsidRPr="005E76D1" w:rsidRDefault="000545DD">
      <w:pPr>
        <w:pBdr>
          <w:top w:val="nil"/>
          <w:left w:val="nil"/>
          <w:bottom w:val="nil"/>
          <w:right w:val="nil"/>
          <w:between w:val="nil"/>
        </w:pBdr>
        <w:spacing w:before="120" w:after="240"/>
        <w:ind w:left="862" w:right="862" w:hanging="862"/>
        <w:rPr>
          <w:iCs/>
          <w:color w:val="000000"/>
          <w:sz w:val="18"/>
          <w:szCs w:val="18"/>
        </w:rPr>
      </w:pPr>
      <w:r w:rsidRPr="005E76D1">
        <w:rPr>
          <w:iCs/>
          <w:color w:val="000000"/>
          <w:sz w:val="18"/>
          <w:szCs w:val="18"/>
        </w:rPr>
        <w:t xml:space="preserve">Fonte: CODFIN – Coordenadoria </w:t>
      </w:r>
      <w:r w:rsidR="005E76D1" w:rsidRPr="005E76D1">
        <w:rPr>
          <w:iCs/>
          <w:color w:val="000000"/>
          <w:sz w:val="18"/>
          <w:szCs w:val="18"/>
        </w:rPr>
        <w:t>Financeira</w:t>
      </w:r>
      <w:r w:rsidRPr="005E76D1">
        <w:rPr>
          <w:iCs/>
          <w:color w:val="000000"/>
          <w:sz w:val="18"/>
          <w:szCs w:val="18"/>
        </w:rPr>
        <w:t xml:space="preserve"> (2026)</w:t>
      </w:r>
    </w:p>
    <w:p w:rsidR="003073A4" w:rsidRDefault="003073A4">
      <w:pPr>
        <w:pBdr>
          <w:top w:val="nil"/>
          <w:left w:val="nil"/>
          <w:bottom w:val="nil"/>
          <w:right w:val="nil"/>
          <w:between w:val="nil"/>
        </w:pBdr>
        <w:spacing w:before="120" w:after="120" w:line="120" w:lineRule="auto"/>
        <w:jc w:val="both"/>
        <w:rPr>
          <w:color w:val="FF0000"/>
        </w:rPr>
      </w:pPr>
    </w:p>
    <w:p w:rsidR="003073A4" w:rsidRDefault="000545DD">
      <w:pPr>
        <w:spacing w:before="240" w:after="240" w:line="360" w:lineRule="auto"/>
        <w:jc w:val="both"/>
      </w:pPr>
      <w:r>
        <w:t>O EBITDA ajustado é indicador que mensura o desempenho operacional da Companhia, excluindo de sua apuração os efeitos de juros, variações monetárias, impostos, depreciação e amortização, bem como os valores decorrentes de perda de capital e da redução ao valor recuperável de ativos (</w:t>
      </w:r>
      <w:r>
        <w:rPr>
          <w:i/>
          <w:iCs/>
        </w:rPr>
        <w:t>Impairment</w:t>
      </w:r>
      <w:r>
        <w:t>). O resultado positivo do indicador evidencia que a Companhia manteve, no exercício, capacidade operacional de geração de receitas suficientes para cobrir seus compromissos.</w:t>
      </w:r>
    </w:p>
    <w:p w:rsidR="003073A4" w:rsidRDefault="000545DD">
      <w:pPr>
        <w:spacing w:after="120" w:line="360" w:lineRule="auto"/>
        <w:jc w:val="both"/>
      </w:pPr>
      <w:r>
        <w:t>A Receita Operacional Líquida, no exercício, totalizou o expressivo montante de R$ 88.414 mil, com crescimento de 1,24% em relação a 2024. Destacam-se três elementos que contribuíram para tal número: aumento na receita de alugueis e arrendamentos, os serviços de utilização de infraestrutura terrestre, e os serviços de utilização de infraestrutura de proteção e acesso aquaviário.</w:t>
      </w:r>
    </w:p>
    <w:p w:rsidR="003073A4" w:rsidRDefault="000545DD">
      <w:pPr>
        <w:spacing w:after="120" w:line="360" w:lineRule="auto"/>
        <w:jc w:val="both"/>
      </w:pPr>
      <w:r>
        <w:t xml:space="preserve">Em relação ao Resultado Econômico de 2025, o valor do exercício foi de R$ 3.077 mil com redução em relação ao resultado de 2024, reflexo, em parte, da redução das outras receitas operacionais no período, conforme demonstrado na série histórica a seguir.  </w:t>
      </w:r>
    </w:p>
    <w:p w:rsidR="003073A4" w:rsidRDefault="003073A4">
      <w:pPr>
        <w:spacing w:after="120" w:line="160" w:lineRule="auto"/>
        <w:jc w:val="both"/>
        <w:rPr>
          <w:rFonts w:ascii="Arial" w:eastAsia="Arial" w:hAnsi="Arial" w:cs="Arial"/>
        </w:rPr>
      </w:pPr>
    </w:p>
    <w:p w:rsidR="003073A4" w:rsidRDefault="000545DD">
      <w:pPr>
        <w:pBdr>
          <w:top w:val="nil"/>
          <w:left w:val="nil"/>
          <w:bottom w:val="nil"/>
          <w:right w:val="nil"/>
          <w:between w:val="nil"/>
        </w:pBdr>
        <w:spacing w:before="120" w:after="120" w:line="360" w:lineRule="auto"/>
        <w:ind w:right="195"/>
        <w:jc w:val="both"/>
        <w:rPr>
          <w:i/>
          <w:iCs/>
          <w:color w:val="000000"/>
        </w:rPr>
      </w:pPr>
      <w:r>
        <w:rPr>
          <w:color w:val="000000"/>
          <w:sz w:val="18"/>
          <w:szCs w:val="18"/>
        </w:rPr>
        <w:t>Tabela 13 – Demonstrações de Resultado CDC 2021 a 2025</w:t>
      </w:r>
    </w:p>
    <w:tbl>
      <w:tblPr>
        <w:tblStyle w:val="af"/>
        <w:tblW w:w="8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781"/>
        <w:gridCol w:w="1053"/>
        <w:gridCol w:w="888"/>
        <w:gridCol w:w="814"/>
        <w:gridCol w:w="687"/>
        <w:gridCol w:w="1134"/>
      </w:tblGrid>
      <w:tr w:rsidR="003073A4">
        <w:trPr>
          <w:trHeight w:val="480"/>
          <w:tblHeader/>
        </w:trPr>
        <w:tc>
          <w:tcPr>
            <w:tcW w:w="8360" w:type="dxa"/>
            <w:gridSpan w:val="7"/>
            <w:shd w:val="clear" w:color="auto" w:fill="203764"/>
            <w:vAlign w:val="center"/>
          </w:tcPr>
          <w:p w:rsidR="003073A4" w:rsidRDefault="000545DD">
            <w:pPr>
              <w:widowControl/>
              <w:jc w:val="center"/>
              <w:rPr>
                <w:b/>
                <w:bCs/>
                <w:color w:val="FF0000"/>
                <w:sz w:val="17"/>
                <w:szCs w:val="17"/>
              </w:rPr>
            </w:pPr>
            <w:r>
              <w:rPr>
                <w:b/>
                <w:bCs/>
                <w:color w:val="FFFFFF"/>
                <w:sz w:val="17"/>
                <w:szCs w:val="17"/>
              </w:rPr>
              <w:t>DISCRIMINAÇÃO (ANO por R$ MIL)</w:t>
            </w:r>
          </w:p>
        </w:tc>
      </w:tr>
      <w:tr w:rsidR="003073A4">
        <w:trPr>
          <w:trHeight w:val="480"/>
          <w:tblHeader/>
        </w:trPr>
        <w:tc>
          <w:tcPr>
            <w:tcW w:w="3003" w:type="dxa"/>
            <w:shd w:val="clear" w:color="auto" w:fill="203764"/>
            <w:vAlign w:val="center"/>
          </w:tcPr>
          <w:p w:rsidR="003073A4" w:rsidRDefault="000545DD">
            <w:pPr>
              <w:widowControl/>
              <w:jc w:val="center"/>
              <w:rPr>
                <w:b/>
                <w:bCs/>
                <w:color w:val="FF0000"/>
                <w:sz w:val="17"/>
                <w:szCs w:val="17"/>
              </w:rPr>
            </w:pPr>
            <w:r>
              <w:rPr>
                <w:b/>
                <w:bCs/>
                <w:color w:val="FFFFFF"/>
                <w:sz w:val="17"/>
                <w:szCs w:val="17"/>
              </w:rPr>
              <w:t>DISCRIMINAÇÃO </w:t>
            </w:r>
          </w:p>
        </w:tc>
        <w:tc>
          <w:tcPr>
            <w:tcW w:w="781" w:type="dxa"/>
            <w:shd w:val="clear" w:color="auto" w:fill="203764"/>
            <w:vAlign w:val="center"/>
          </w:tcPr>
          <w:p w:rsidR="003073A4" w:rsidRDefault="000545DD">
            <w:pPr>
              <w:widowControl/>
              <w:jc w:val="center"/>
              <w:rPr>
                <w:b/>
                <w:bCs/>
                <w:color w:val="FFFFFF"/>
                <w:sz w:val="17"/>
                <w:szCs w:val="17"/>
              </w:rPr>
            </w:pPr>
            <w:r>
              <w:rPr>
                <w:b/>
                <w:bCs/>
                <w:color w:val="FFFFFF"/>
                <w:sz w:val="17"/>
                <w:szCs w:val="17"/>
              </w:rPr>
              <w:t>2021</w:t>
            </w:r>
          </w:p>
        </w:tc>
        <w:tc>
          <w:tcPr>
            <w:tcW w:w="1053" w:type="dxa"/>
            <w:shd w:val="clear" w:color="auto" w:fill="203764"/>
            <w:vAlign w:val="center"/>
          </w:tcPr>
          <w:p w:rsidR="003073A4" w:rsidRDefault="000545DD">
            <w:pPr>
              <w:widowControl/>
              <w:jc w:val="center"/>
              <w:rPr>
                <w:b/>
                <w:bCs/>
                <w:color w:val="FFFFFF"/>
                <w:sz w:val="17"/>
                <w:szCs w:val="17"/>
              </w:rPr>
            </w:pPr>
            <w:r>
              <w:rPr>
                <w:b/>
                <w:bCs/>
                <w:color w:val="FFFFFF"/>
                <w:sz w:val="17"/>
                <w:szCs w:val="17"/>
              </w:rPr>
              <w:t>2022</w:t>
            </w:r>
          </w:p>
        </w:tc>
        <w:tc>
          <w:tcPr>
            <w:tcW w:w="888" w:type="dxa"/>
            <w:shd w:val="clear" w:color="auto" w:fill="203764"/>
            <w:vAlign w:val="center"/>
          </w:tcPr>
          <w:p w:rsidR="003073A4" w:rsidRDefault="000545DD">
            <w:pPr>
              <w:widowControl/>
              <w:jc w:val="center"/>
              <w:rPr>
                <w:b/>
                <w:bCs/>
                <w:color w:val="FFFFFF"/>
                <w:sz w:val="17"/>
                <w:szCs w:val="17"/>
              </w:rPr>
            </w:pPr>
            <w:r>
              <w:rPr>
                <w:b/>
                <w:bCs/>
                <w:color w:val="FFFFFF"/>
                <w:sz w:val="17"/>
                <w:szCs w:val="17"/>
              </w:rPr>
              <w:t>2023</w:t>
            </w:r>
          </w:p>
        </w:tc>
        <w:tc>
          <w:tcPr>
            <w:tcW w:w="814" w:type="dxa"/>
            <w:shd w:val="clear" w:color="auto" w:fill="203764"/>
            <w:vAlign w:val="center"/>
          </w:tcPr>
          <w:p w:rsidR="003073A4" w:rsidRDefault="000545DD">
            <w:pPr>
              <w:widowControl/>
              <w:jc w:val="center"/>
              <w:rPr>
                <w:b/>
                <w:bCs/>
                <w:color w:val="FFFFFF"/>
                <w:sz w:val="17"/>
                <w:szCs w:val="17"/>
              </w:rPr>
            </w:pPr>
            <w:r>
              <w:rPr>
                <w:b/>
                <w:bCs/>
                <w:color w:val="FFFFFF"/>
                <w:sz w:val="17"/>
                <w:szCs w:val="17"/>
              </w:rPr>
              <w:t>2024</w:t>
            </w:r>
          </w:p>
        </w:tc>
        <w:tc>
          <w:tcPr>
            <w:tcW w:w="687" w:type="dxa"/>
            <w:shd w:val="clear" w:color="auto" w:fill="203764"/>
            <w:vAlign w:val="center"/>
          </w:tcPr>
          <w:p w:rsidR="003073A4" w:rsidRDefault="000545DD">
            <w:pPr>
              <w:widowControl/>
              <w:jc w:val="center"/>
              <w:rPr>
                <w:b/>
                <w:bCs/>
                <w:color w:val="FFFFFF"/>
                <w:sz w:val="17"/>
                <w:szCs w:val="17"/>
              </w:rPr>
            </w:pPr>
            <w:r>
              <w:rPr>
                <w:b/>
                <w:bCs/>
                <w:color w:val="FFFFFF"/>
                <w:sz w:val="17"/>
                <w:szCs w:val="17"/>
              </w:rPr>
              <w:t>2025</w:t>
            </w:r>
          </w:p>
        </w:tc>
        <w:tc>
          <w:tcPr>
            <w:tcW w:w="1134" w:type="dxa"/>
            <w:shd w:val="clear" w:color="auto" w:fill="203764"/>
            <w:vAlign w:val="center"/>
          </w:tcPr>
          <w:p w:rsidR="003073A4" w:rsidRDefault="000545DD">
            <w:pPr>
              <w:widowControl/>
              <w:jc w:val="center"/>
              <w:rPr>
                <w:b/>
                <w:bCs/>
                <w:color w:val="FFFFFF"/>
                <w:sz w:val="17"/>
                <w:szCs w:val="17"/>
              </w:rPr>
            </w:pPr>
            <w:r>
              <w:rPr>
                <w:b/>
                <w:bCs/>
                <w:color w:val="FFFFFF"/>
                <w:sz w:val="17"/>
                <w:szCs w:val="17"/>
              </w:rPr>
              <w:t>Δ 25/24%</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RECEITAS</w:t>
            </w:r>
          </w:p>
        </w:tc>
        <w:tc>
          <w:tcPr>
            <w:tcW w:w="781" w:type="dxa"/>
            <w:shd w:val="clear" w:color="auto" w:fill="BEBEBE"/>
            <w:vAlign w:val="center"/>
          </w:tcPr>
          <w:p w:rsidR="003073A4" w:rsidRDefault="000545DD">
            <w:pPr>
              <w:widowControl/>
              <w:jc w:val="center"/>
              <w:rPr>
                <w:sz w:val="17"/>
                <w:szCs w:val="17"/>
              </w:rPr>
            </w:pPr>
            <w:r>
              <w:rPr>
                <w:sz w:val="17"/>
                <w:szCs w:val="17"/>
              </w:rPr>
              <w:t>55.615</w:t>
            </w:r>
          </w:p>
        </w:tc>
        <w:tc>
          <w:tcPr>
            <w:tcW w:w="1053" w:type="dxa"/>
            <w:shd w:val="clear" w:color="auto" w:fill="BEBEBE"/>
            <w:vAlign w:val="center"/>
          </w:tcPr>
          <w:p w:rsidR="003073A4" w:rsidRDefault="000545DD">
            <w:pPr>
              <w:widowControl/>
              <w:jc w:val="center"/>
              <w:rPr>
                <w:sz w:val="17"/>
                <w:szCs w:val="17"/>
              </w:rPr>
            </w:pPr>
            <w:r>
              <w:rPr>
                <w:sz w:val="17"/>
                <w:szCs w:val="17"/>
              </w:rPr>
              <w:t>61.135</w:t>
            </w:r>
          </w:p>
        </w:tc>
        <w:tc>
          <w:tcPr>
            <w:tcW w:w="888" w:type="dxa"/>
            <w:shd w:val="clear" w:color="auto" w:fill="BEBEBE"/>
            <w:vAlign w:val="center"/>
          </w:tcPr>
          <w:p w:rsidR="003073A4" w:rsidRDefault="000545DD">
            <w:pPr>
              <w:widowControl/>
              <w:jc w:val="center"/>
              <w:rPr>
                <w:sz w:val="17"/>
                <w:szCs w:val="17"/>
              </w:rPr>
            </w:pPr>
            <w:r>
              <w:rPr>
                <w:sz w:val="17"/>
                <w:szCs w:val="17"/>
              </w:rPr>
              <w:t>75.642</w:t>
            </w:r>
          </w:p>
        </w:tc>
        <w:tc>
          <w:tcPr>
            <w:tcW w:w="814" w:type="dxa"/>
            <w:shd w:val="clear" w:color="auto" w:fill="BEBEBE"/>
            <w:vAlign w:val="center"/>
          </w:tcPr>
          <w:p w:rsidR="003073A4" w:rsidRDefault="000545DD">
            <w:pPr>
              <w:widowControl/>
              <w:jc w:val="center"/>
              <w:rPr>
                <w:sz w:val="17"/>
                <w:szCs w:val="17"/>
              </w:rPr>
            </w:pPr>
            <w:r>
              <w:rPr>
                <w:sz w:val="17"/>
                <w:szCs w:val="17"/>
              </w:rPr>
              <w:t>87.335</w:t>
            </w:r>
          </w:p>
        </w:tc>
        <w:tc>
          <w:tcPr>
            <w:tcW w:w="687" w:type="dxa"/>
            <w:shd w:val="clear" w:color="auto" w:fill="BEBEBE"/>
            <w:vAlign w:val="center"/>
          </w:tcPr>
          <w:p w:rsidR="003073A4" w:rsidRDefault="000545DD">
            <w:pPr>
              <w:widowControl/>
              <w:jc w:val="center"/>
              <w:rPr>
                <w:sz w:val="17"/>
                <w:szCs w:val="17"/>
              </w:rPr>
            </w:pPr>
            <w:r>
              <w:rPr>
                <w:sz w:val="17"/>
                <w:szCs w:val="17"/>
              </w:rPr>
              <w:t>88.414</w:t>
            </w:r>
          </w:p>
        </w:tc>
        <w:tc>
          <w:tcPr>
            <w:tcW w:w="1134" w:type="dxa"/>
            <w:shd w:val="clear" w:color="auto" w:fill="BEBEBE"/>
            <w:vAlign w:val="center"/>
          </w:tcPr>
          <w:p w:rsidR="003073A4" w:rsidRDefault="000545DD">
            <w:pPr>
              <w:widowControl/>
              <w:jc w:val="center"/>
              <w:rPr>
                <w:sz w:val="17"/>
                <w:szCs w:val="17"/>
              </w:rPr>
            </w:pPr>
            <w:r>
              <w:rPr>
                <w:sz w:val="17"/>
                <w:szCs w:val="17"/>
              </w:rPr>
              <w:t>1,24%</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CUSTOS DOS SERVIÇOS</w:t>
            </w:r>
          </w:p>
        </w:tc>
        <w:tc>
          <w:tcPr>
            <w:tcW w:w="781" w:type="dxa"/>
            <w:shd w:val="clear" w:color="auto" w:fill="BEBEBE"/>
            <w:vAlign w:val="center"/>
          </w:tcPr>
          <w:p w:rsidR="003073A4" w:rsidRDefault="000545DD">
            <w:pPr>
              <w:widowControl/>
              <w:jc w:val="center"/>
              <w:rPr>
                <w:sz w:val="17"/>
                <w:szCs w:val="17"/>
              </w:rPr>
            </w:pPr>
            <w:r>
              <w:rPr>
                <w:sz w:val="17"/>
                <w:szCs w:val="17"/>
              </w:rPr>
              <w:t>-39.275</w:t>
            </w:r>
          </w:p>
        </w:tc>
        <w:tc>
          <w:tcPr>
            <w:tcW w:w="1053" w:type="dxa"/>
            <w:shd w:val="clear" w:color="auto" w:fill="BEBEBE"/>
            <w:vAlign w:val="center"/>
          </w:tcPr>
          <w:p w:rsidR="003073A4" w:rsidRDefault="000545DD">
            <w:pPr>
              <w:widowControl/>
              <w:jc w:val="center"/>
              <w:rPr>
                <w:sz w:val="17"/>
                <w:szCs w:val="17"/>
              </w:rPr>
            </w:pPr>
            <w:r>
              <w:rPr>
                <w:sz w:val="17"/>
                <w:szCs w:val="17"/>
              </w:rPr>
              <w:t>-39.445</w:t>
            </w:r>
          </w:p>
        </w:tc>
        <w:tc>
          <w:tcPr>
            <w:tcW w:w="888" w:type="dxa"/>
            <w:shd w:val="clear" w:color="auto" w:fill="BEBEBE"/>
            <w:vAlign w:val="center"/>
          </w:tcPr>
          <w:p w:rsidR="003073A4" w:rsidRDefault="000545DD">
            <w:pPr>
              <w:widowControl/>
              <w:jc w:val="center"/>
              <w:rPr>
                <w:sz w:val="17"/>
                <w:szCs w:val="17"/>
              </w:rPr>
            </w:pPr>
            <w:r>
              <w:rPr>
                <w:sz w:val="17"/>
                <w:szCs w:val="17"/>
              </w:rPr>
              <w:t>-44.518</w:t>
            </w:r>
          </w:p>
        </w:tc>
        <w:tc>
          <w:tcPr>
            <w:tcW w:w="814" w:type="dxa"/>
            <w:shd w:val="clear" w:color="auto" w:fill="BEBEBE"/>
            <w:vAlign w:val="center"/>
          </w:tcPr>
          <w:p w:rsidR="003073A4" w:rsidRDefault="000545DD">
            <w:pPr>
              <w:widowControl/>
              <w:jc w:val="center"/>
              <w:rPr>
                <w:sz w:val="17"/>
                <w:szCs w:val="17"/>
              </w:rPr>
            </w:pPr>
            <w:r>
              <w:rPr>
                <w:sz w:val="17"/>
                <w:szCs w:val="17"/>
              </w:rPr>
              <w:t>-43.894</w:t>
            </w:r>
          </w:p>
        </w:tc>
        <w:tc>
          <w:tcPr>
            <w:tcW w:w="687" w:type="dxa"/>
            <w:shd w:val="clear" w:color="auto" w:fill="BEBEBE"/>
            <w:vAlign w:val="center"/>
          </w:tcPr>
          <w:p w:rsidR="003073A4" w:rsidRDefault="000545DD">
            <w:pPr>
              <w:widowControl/>
              <w:jc w:val="center"/>
              <w:rPr>
                <w:sz w:val="17"/>
                <w:szCs w:val="17"/>
              </w:rPr>
            </w:pPr>
            <w:r>
              <w:rPr>
                <w:sz w:val="17"/>
                <w:szCs w:val="17"/>
              </w:rPr>
              <w:t>-41.948</w:t>
            </w:r>
          </w:p>
        </w:tc>
        <w:tc>
          <w:tcPr>
            <w:tcW w:w="1134" w:type="dxa"/>
            <w:shd w:val="clear" w:color="auto" w:fill="BEBEBE"/>
            <w:vAlign w:val="center"/>
          </w:tcPr>
          <w:p w:rsidR="003073A4" w:rsidRDefault="000545DD">
            <w:pPr>
              <w:widowControl/>
              <w:jc w:val="center"/>
              <w:rPr>
                <w:sz w:val="17"/>
                <w:szCs w:val="17"/>
              </w:rPr>
            </w:pPr>
            <w:r>
              <w:rPr>
                <w:sz w:val="17"/>
                <w:szCs w:val="17"/>
              </w:rPr>
              <w:t>-4,43%</w:t>
            </w:r>
          </w:p>
        </w:tc>
      </w:tr>
      <w:tr w:rsidR="003073A4">
        <w:trPr>
          <w:trHeight w:val="392"/>
        </w:trPr>
        <w:tc>
          <w:tcPr>
            <w:tcW w:w="3003" w:type="dxa"/>
            <w:shd w:val="clear" w:color="auto" w:fill="44536A"/>
            <w:vAlign w:val="center"/>
          </w:tcPr>
          <w:p w:rsidR="003073A4" w:rsidRDefault="000545DD">
            <w:pPr>
              <w:widowControl/>
              <w:rPr>
                <w:b/>
                <w:bCs/>
                <w:color w:val="FF0000"/>
                <w:sz w:val="17"/>
                <w:szCs w:val="17"/>
              </w:rPr>
            </w:pPr>
            <w:r>
              <w:rPr>
                <w:b/>
                <w:bCs/>
                <w:color w:val="FFFFFF"/>
                <w:sz w:val="17"/>
                <w:szCs w:val="17"/>
              </w:rPr>
              <w:t>LUCRO BRUTO</w:t>
            </w:r>
          </w:p>
        </w:tc>
        <w:tc>
          <w:tcPr>
            <w:tcW w:w="781" w:type="dxa"/>
            <w:shd w:val="clear" w:color="auto" w:fill="44536A"/>
            <w:vAlign w:val="center"/>
          </w:tcPr>
          <w:p w:rsidR="003073A4" w:rsidRDefault="000545DD">
            <w:pPr>
              <w:widowControl/>
              <w:jc w:val="center"/>
              <w:rPr>
                <w:b/>
                <w:bCs/>
                <w:color w:val="FF0000"/>
                <w:sz w:val="17"/>
                <w:szCs w:val="17"/>
              </w:rPr>
            </w:pPr>
            <w:r>
              <w:rPr>
                <w:b/>
                <w:bCs/>
                <w:color w:val="FFFFFF"/>
                <w:sz w:val="17"/>
                <w:szCs w:val="17"/>
              </w:rPr>
              <w:t>16.339</w:t>
            </w:r>
          </w:p>
        </w:tc>
        <w:tc>
          <w:tcPr>
            <w:tcW w:w="1053" w:type="dxa"/>
            <w:shd w:val="clear" w:color="auto" w:fill="44536A"/>
            <w:vAlign w:val="center"/>
          </w:tcPr>
          <w:p w:rsidR="003073A4" w:rsidRDefault="000545DD">
            <w:pPr>
              <w:widowControl/>
              <w:jc w:val="center"/>
              <w:rPr>
                <w:b/>
                <w:bCs/>
                <w:color w:val="FF0000"/>
                <w:sz w:val="17"/>
                <w:szCs w:val="17"/>
              </w:rPr>
            </w:pPr>
            <w:r>
              <w:rPr>
                <w:b/>
                <w:bCs/>
                <w:color w:val="FFFFFF"/>
                <w:sz w:val="17"/>
                <w:szCs w:val="17"/>
              </w:rPr>
              <w:t>21.690</w:t>
            </w:r>
          </w:p>
        </w:tc>
        <w:tc>
          <w:tcPr>
            <w:tcW w:w="888" w:type="dxa"/>
            <w:shd w:val="clear" w:color="auto" w:fill="44536A"/>
            <w:vAlign w:val="center"/>
          </w:tcPr>
          <w:p w:rsidR="003073A4" w:rsidRDefault="000545DD">
            <w:pPr>
              <w:widowControl/>
              <w:jc w:val="center"/>
              <w:rPr>
                <w:b/>
                <w:bCs/>
                <w:color w:val="FF0000"/>
                <w:sz w:val="17"/>
                <w:szCs w:val="17"/>
              </w:rPr>
            </w:pPr>
            <w:r>
              <w:rPr>
                <w:b/>
                <w:bCs/>
                <w:color w:val="FFFFFF"/>
                <w:sz w:val="17"/>
                <w:szCs w:val="17"/>
              </w:rPr>
              <w:t>31.124</w:t>
            </w:r>
          </w:p>
        </w:tc>
        <w:tc>
          <w:tcPr>
            <w:tcW w:w="814" w:type="dxa"/>
            <w:shd w:val="clear" w:color="auto" w:fill="44536A"/>
            <w:vAlign w:val="center"/>
          </w:tcPr>
          <w:p w:rsidR="003073A4" w:rsidRDefault="000545DD">
            <w:pPr>
              <w:widowControl/>
              <w:jc w:val="center"/>
              <w:rPr>
                <w:b/>
                <w:bCs/>
                <w:color w:val="FF0000"/>
                <w:sz w:val="17"/>
                <w:szCs w:val="17"/>
              </w:rPr>
            </w:pPr>
            <w:r>
              <w:rPr>
                <w:b/>
                <w:bCs/>
                <w:color w:val="FFFFFF"/>
                <w:sz w:val="17"/>
                <w:szCs w:val="17"/>
              </w:rPr>
              <w:t>43.441</w:t>
            </w:r>
          </w:p>
        </w:tc>
        <w:tc>
          <w:tcPr>
            <w:tcW w:w="687" w:type="dxa"/>
            <w:shd w:val="clear" w:color="auto" w:fill="44536A"/>
            <w:vAlign w:val="center"/>
          </w:tcPr>
          <w:p w:rsidR="003073A4" w:rsidRDefault="000545DD">
            <w:pPr>
              <w:widowControl/>
              <w:jc w:val="center"/>
              <w:rPr>
                <w:b/>
                <w:bCs/>
                <w:color w:val="FFFFFF"/>
                <w:sz w:val="17"/>
                <w:szCs w:val="17"/>
              </w:rPr>
            </w:pPr>
            <w:r>
              <w:rPr>
                <w:b/>
                <w:bCs/>
                <w:color w:val="FFFFFF"/>
                <w:sz w:val="17"/>
                <w:szCs w:val="17"/>
              </w:rPr>
              <w:t>46.466</w:t>
            </w:r>
          </w:p>
        </w:tc>
        <w:tc>
          <w:tcPr>
            <w:tcW w:w="1134" w:type="dxa"/>
            <w:shd w:val="clear" w:color="auto" w:fill="44536A"/>
            <w:vAlign w:val="center"/>
          </w:tcPr>
          <w:p w:rsidR="003073A4" w:rsidRDefault="000545DD">
            <w:pPr>
              <w:widowControl/>
              <w:jc w:val="center"/>
              <w:rPr>
                <w:b/>
                <w:bCs/>
                <w:color w:val="FF0000"/>
                <w:sz w:val="17"/>
                <w:szCs w:val="17"/>
              </w:rPr>
            </w:pPr>
            <w:r>
              <w:rPr>
                <w:b/>
                <w:bCs/>
                <w:color w:val="FFFFFF"/>
                <w:sz w:val="17"/>
                <w:szCs w:val="17"/>
              </w:rPr>
              <w:t>6,96%</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DESPESAS/RECEITAS OPERACIONAIS</w:t>
            </w:r>
          </w:p>
        </w:tc>
        <w:tc>
          <w:tcPr>
            <w:tcW w:w="781" w:type="dxa"/>
            <w:shd w:val="clear" w:color="auto" w:fill="BEBEBE"/>
            <w:vAlign w:val="center"/>
          </w:tcPr>
          <w:p w:rsidR="003073A4" w:rsidRDefault="000545DD">
            <w:pPr>
              <w:widowControl/>
              <w:jc w:val="center"/>
              <w:rPr>
                <w:sz w:val="17"/>
                <w:szCs w:val="17"/>
              </w:rPr>
            </w:pPr>
            <w:r>
              <w:rPr>
                <w:sz w:val="17"/>
                <w:szCs w:val="17"/>
              </w:rPr>
              <w:t>-16.239</w:t>
            </w:r>
          </w:p>
        </w:tc>
        <w:tc>
          <w:tcPr>
            <w:tcW w:w="1053" w:type="dxa"/>
            <w:shd w:val="clear" w:color="auto" w:fill="BEBEBE"/>
            <w:vAlign w:val="center"/>
          </w:tcPr>
          <w:p w:rsidR="003073A4" w:rsidRDefault="000545DD">
            <w:pPr>
              <w:widowControl/>
              <w:jc w:val="center"/>
              <w:rPr>
                <w:sz w:val="17"/>
                <w:szCs w:val="17"/>
              </w:rPr>
            </w:pPr>
            <w:r>
              <w:rPr>
                <w:sz w:val="17"/>
                <w:szCs w:val="17"/>
              </w:rPr>
              <w:t>51.087</w:t>
            </w:r>
          </w:p>
        </w:tc>
        <w:tc>
          <w:tcPr>
            <w:tcW w:w="888" w:type="dxa"/>
            <w:shd w:val="clear" w:color="auto" w:fill="BEBEBE"/>
            <w:vAlign w:val="center"/>
          </w:tcPr>
          <w:p w:rsidR="003073A4" w:rsidRDefault="000545DD">
            <w:pPr>
              <w:widowControl/>
              <w:jc w:val="center"/>
              <w:rPr>
                <w:sz w:val="17"/>
                <w:szCs w:val="17"/>
              </w:rPr>
            </w:pPr>
            <w:r>
              <w:rPr>
                <w:sz w:val="17"/>
                <w:szCs w:val="17"/>
              </w:rPr>
              <w:t>-8.089</w:t>
            </w:r>
          </w:p>
        </w:tc>
        <w:tc>
          <w:tcPr>
            <w:tcW w:w="814" w:type="dxa"/>
            <w:shd w:val="clear" w:color="auto" w:fill="BEBEBE"/>
            <w:vAlign w:val="center"/>
          </w:tcPr>
          <w:p w:rsidR="003073A4" w:rsidRDefault="000545DD">
            <w:pPr>
              <w:widowControl/>
              <w:jc w:val="center"/>
              <w:rPr>
                <w:sz w:val="17"/>
                <w:szCs w:val="17"/>
              </w:rPr>
            </w:pPr>
            <w:r>
              <w:rPr>
                <w:sz w:val="17"/>
                <w:szCs w:val="17"/>
              </w:rPr>
              <w:t>-29.649</w:t>
            </w:r>
          </w:p>
        </w:tc>
        <w:tc>
          <w:tcPr>
            <w:tcW w:w="687" w:type="dxa"/>
            <w:shd w:val="clear" w:color="auto" w:fill="BEBEBE"/>
            <w:vAlign w:val="center"/>
          </w:tcPr>
          <w:p w:rsidR="003073A4" w:rsidRDefault="000545DD">
            <w:pPr>
              <w:widowControl/>
              <w:jc w:val="center"/>
              <w:rPr>
                <w:sz w:val="17"/>
                <w:szCs w:val="17"/>
              </w:rPr>
            </w:pPr>
            <w:r>
              <w:rPr>
                <w:sz w:val="17"/>
                <w:szCs w:val="17"/>
              </w:rPr>
              <w:t>-47.161</w:t>
            </w:r>
          </w:p>
        </w:tc>
        <w:tc>
          <w:tcPr>
            <w:tcW w:w="1134" w:type="dxa"/>
            <w:shd w:val="clear" w:color="auto" w:fill="BEBEBE"/>
            <w:vAlign w:val="center"/>
          </w:tcPr>
          <w:p w:rsidR="003073A4" w:rsidRDefault="000545DD">
            <w:pPr>
              <w:widowControl/>
              <w:jc w:val="center"/>
              <w:rPr>
                <w:sz w:val="17"/>
                <w:szCs w:val="17"/>
              </w:rPr>
            </w:pPr>
            <w:r>
              <w:rPr>
                <w:sz w:val="17"/>
                <w:szCs w:val="17"/>
              </w:rPr>
              <w:t>59,06%</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DESPESAS GERAIS E ADMINISTRATIVAS</w:t>
            </w:r>
          </w:p>
        </w:tc>
        <w:tc>
          <w:tcPr>
            <w:tcW w:w="781" w:type="dxa"/>
            <w:shd w:val="clear" w:color="auto" w:fill="BEBEBE"/>
            <w:vAlign w:val="center"/>
          </w:tcPr>
          <w:p w:rsidR="003073A4" w:rsidRDefault="000545DD">
            <w:pPr>
              <w:widowControl/>
              <w:jc w:val="center"/>
              <w:rPr>
                <w:sz w:val="17"/>
                <w:szCs w:val="17"/>
              </w:rPr>
            </w:pPr>
            <w:r>
              <w:rPr>
                <w:sz w:val="17"/>
                <w:szCs w:val="17"/>
              </w:rPr>
              <w:t>-26.671</w:t>
            </w:r>
          </w:p>
        </w:tc>
        <w:tc>
          <w:tcPr>
            <w:tcW w:w="1053" w:type="dxa"/>
            <w:shd w:val="clear" w:color="auto" w:fill="BEBEBE"/>
            <w:vAlign w:val="center"/>
          </w:tcPr>
          <w:p w:rsidR="003073A4" w:rsidRDefault="000545DD">
            <w:pPr>
              <w:widowControl/>
              <w:jc w:val="center"/>
              <w:rPr>
                <w:sz w:val="17"/>
                <w:szCs w:val="17"/>
              </w:rPr>
            </w:pPr>
            <w:r>
              <w:rPr>
                <w:sz w:val="17"/>
                <w:szCs w:val="17"/>
              </w:rPr>
              <w:t>-29.463</w:t>
            </w:r>
          </w:p>
        </w:tc>
        <w:tc>
          <w:tcPr>
            <w:tcW w:w="888" w:type="dxa"/>
            <w:shd w:val="clear" w:color="auto" w:fill="BEBEBE"/>
            <w:vAlign w:val="center"/>
          </w:tcPr>
          <w:p w:rsidR="003073A4" w:rsidRDefault="000545DD">
            <w:pPr>
              <w:widowControl/>
              <w:jc w:val="center"/>
              <w:rPr>
                <w:sz w:val="17"/>
                <w:szCs w:val="17"/>
              </w:rPr>
            </w:pPr>
            <w:r>
              <w:rPr>
                <w:sz w:val="17"/>
                <w:szCs w:val="17"/>
              </w:rPr>
              <w:t>-42.245</w:t>
            </w:r>
          </w:p>
        </w:tc>
        <w:tc>
          <w:tcPr>
            <w:tcW w:w="814" w:type="dxa"/>
            <w:shd w:val="clear" w:color="auto" w:fill="BEBEBE"/>
            <w:vAlign w:val="center"/>
          </w:tcPr>
          <w:p w:rsidR="003073A4" w:rsidRDefault="000545DD">
            <w:pPr>
              <w:widowControl/>
              <w:jc w:val="center"/>
              <w:rPr>
                <w:sz w:val="17"/>
                <w:szCs w:val="17"/>
              </w:rPr>
            </w:pPr>
            <w:r>
              <w:rPr>
                <w:sz w:val="17"/>
                <w:szCs w:val="17"/>
              </w:rPr>
              <w:t>-40.783</w:t>
            </w:r>
          </w:p>
        </w:tc>
        <w:tc>
          <w:tcPr>
            <w:tcW w:w="687" w:type="dxa"/>
            <w:shd w:val="clear" w:color="auto" w:fill="BEBEBE"/>
            <w:vAlign w:val="center"/>
          </w:tcPr>
          <w:p w:rsidR="003073A4" w:rsidRDefault="000545DD">
            <w:pPr>
              <w:widowControl/>
              <w:jc w:val="center"/>
              <w:rPr>
                <w:sz w:val="17"/>
                <w:szCs w:val="17"/>
              </w:rPr>
            </w:pPr>
            <w:r>
              <w:rPr>
                <w:sz w:val="17"/>
                <w:szCs w:val="17"/>
              </w:rPr>
              <w:t>-47.716</w:t>
            </w:r>
          </w:p>
        </w:tc>
        <w:tc>
          <w:tcPr>
            <w:tcW w:w="1134" w:type="dxa"/>
            <w:shd w:val="clear" w:color="auto" w:fill="BEBEBE"/>
            <w:vAlign w:val="center"/>
          </w:tcPr>
          <w:p w:rsidR="003073A4" w:rsidRDefault="000545DD">
            <w:pPr>
              <w:widowControl/>
              <w:jc w:val="center"/>
              <w:rPr>
                <w:sz w:val="17"/>
                <w:szCs w:val="17"/>
              </w:rPr>
            </w:pPr>
            <w:r>
              <w:rPr>
                <w:sz w:val="17"/>
                <w:szCs w:val="17"/>
              </w:rPr>
              <w:t>17%</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OUTRAS RECEITAS OPERACIONAIS</w:t>
            </w:r>
          </w:p>
        </w:tc>
        <w:tc>
          <w:tcPr>
            <w:tcW w:w="781" w:type="dxa"/>
            <w:shd w:val="clear" w:color="auto" w:fill="BEBEBE"/>
            <w:vAlign w:val="center"/>
          </w:tcPr>
          <w:p w:rsidR="003073A4" w:rsidRDefault="000545DD">
            <w:pPr>
              <w:widowControl/>
              <w:jc w:val="center"/>
              <w:rPr>
                <w:sz w:val="17"/>
                <w:szCs w:val="17"/>
              </w:rPr>
            </w:pPr>
            <w:r>
              <w:rPr>
                <w:sz w:val="17"/>
                <w:szCs w:val="17"/>
              </w:rPr>
              <w:t>15.709</w:t>
            </w:r>
          </w:p>
        </w:tc>
        <w:tc>
          <w:tcPr>
            <w:tcW w:w="1053" w:type="dxa"/>
            <w:shd w:val="clear" w:color="auto" w:fill="BEBEBE"/>
            <w:vAlign w:val="center"/>
          </w:tcPr>
          <w:p w:rsidR="003073A4" w:rsidRDefault="000545DD">
            <w:pPr>
              <w:widowControl/>
              <w:jc w:val="center"/>
              <w:rPr>
                <w:sz w:val="17"/>
                <w:szCs w:val="17"/>
              </w:rPr>
            </w:pPr>
            <w:r>
              <w:rPr>
                <w:sz w:val="17"/>
                <w:szCs w:val="17"/>
              </w:rPr>
              <w:t>80.550</w:t>
            </w:r>
          </w:p>
        </w:tc>
        <w:tc>
          <w:tcPr>
            <w:tcW w:w="888" w:type="dxa"/>
            <w:shd w:val="clear" w:color="auto" w:fill="BEBEBE"/>
            <w:vAlign w:val="center"/>
          </w:tcPr>
          <w:p w:rsidR="003073A4" w:rsidRDefault="000545DD">
            <w:pPr>
              <w:widowControl/>
              <w:jc w:val="center"/>
              <w:rPr>
                <w:sz w:val="17"/>
                <w:szCs w:val="17"/>
              </w:rPr>
            </w:pPr>
            <w:r>
              <w:rPr>
                <w:sz w:val="17"/>
                <w:szCs w:val="17"/>
              </w:rPr>
              <w:t>34.156</w:t>
            </w:r>
          </w:p>
        </w:tc>
        <w:tc>
          <w:tcPr>
            <w:tcW w:w="814" w:type="dxa"/>
            <w:shd w:val="clear" w:color="auto" w:fill="BEBEBE"/>
            <w:vAlign w:val="center"/>
          </w:tcPr>
          <w:p w:rsidR="003073A4" w:rsidRDefault="000545DD">
            <w:pPr>
              <w:widowControl/>
              <w:jc w:val="center"/>
              <w:rPr>
                <w:sz w:val="17"/>
                <w:szCs w:val="17"/>
              </w:rPr>
            </w:pPr>
            <w:r>
              <w:rPr>
                <w:sz w:val="17"/>
                <w:szCs w:val="17"/>
              </w:rPr>
              <w:t>11.134</w:t>
            </w:r>
          </w:p>
        </w:tc>
        <w:tc>
          <w:tcPr>
            <w:tcW w:w="687" w:type="dxa"/>
            <w:shd w:val="clear" w:color="auto" w:fill="BEBEBE"/>
            <w:vAlign w:val="center"/>
          </w:tcPr>
          <w:p w:rsidR="003073A4" w:rsidRDefault="000545DD">
            <w:pPr>
              <w:widowControl/>
              <w:jc w:val="center"/>
              <w:rPr>
                <w:sz w:val="17"/>
                <w:szCs w:val="17"/>
              </w:rPr>
            </w:pPr>
            <w:r>
              <w:rPr>
                <w:sz w:val="17"/>
                <w:szCs w:val="17"/>
              </w:rPr>
              <w:t>555</w:t>
            </w:r>
          </w:p>
        </w:tc>
        <w:tc>
          <w:tcPr>
            <w:tcW w:w="1134" w:type="dxa"/>
            <w:shd w:val="clear" w:color="auto" w:fill="BEBEBE"/>
            <w:vAlign w:val="center"/>
          </w:tcPr>
          <w:p w:rsidR="003073A4" w:rsidRDefault="000545DD">
            <w:pPr>
              <w:widowControl/>
              <w:jc w:val="center"/>
              <w:rPr>
                <w:sz w:val="17"/>
                <w:szCs w:val="17"/>
              </w:rPr>
            </w:pPr>
            <w:r>
              <w:rPr>
                <w:sz w:val="17"/>
                <w:szCs w:val="17"/>
              </w:rPr>
              <w:t>-95,02%</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OUTRAS DESPESAS OPERACIONAIS</w:t>
            </w:r>
          </w:p>
        </w:tc>
        <w:tc>
          <w:tcPr>
            <w:tcW w:w="781" w:type="dxa"/>
            <w:shd w:val="clear" w:color="auto" w:fill="BEBEBE"/>
            <w:vAlign w:val="center"/>
          </w:tcPr>
          <w:p w:rsidR="003073A4" w:rsidRDefault="000545DD">
            <w:pPr>
              <w:widowControl/>
              <w:jc w:val="center"/>
              <w:rPr>
                <w:sz w:val="17"/>
                <w:szCs w:val="17"/>
              </w:rPr>
            </w:pPr>
            <w:r>
              <w:rPr>
                <w:sz w:val="17"/>
                <w:szCs w:val="17"/>
              </w:rPr>
              <w:t>-5.277</w:t>
            </w:r>
          </w:p>
        </w:tc>
        <w:tc>
          <w:tcPr>
            <w:tcW w:w="1053" w:type="dxa"/>
            <w:shd w:val="clear" w:color="auto" w:fill="BEBEBE"/>
            <w:vAlign w:val="center"/>
          </w:tcPr>
          <w:p w:rsidR="003073A4" w:rsidRDefault="000545DD">
            <w:pPr>
              <w:widowControl/>
              <w:jc w:val="center"/>
              <w:rPr>
                <w:sz w:val="17"/>
                <w:szCs w:val="17"/>
              </w:rPr>
            </w:pPr>
            <w:r>
              <w:rPr>
                <w:sz w:val="17"/>
                <w:szCs w:val="17"/>
              </w:rPr>
              <w:t>0</w:t>
            </w:r>
          </w:p>
        </w:tc>
        <w:tc>
          <w:tcPr>
            <w:tcW w:w="888" w:type="dxa"/>
            <w:shd w:val="clear" w:color="auto" w:fill="BEBEBE"/>
            <w:vAlign w:val="center"/>
          </w:tcPr>
          <w:p w:rsidR="003073A4" w:rsidRDefault="000545DD">
            <w:pPr>
              <w:widowControl/>
              <w:jc w:val="center"/>
              <w:rPr>
                <w:sz w:val="17"/>
                <w:szCs w:val="17"/>
              </w:rPr>
            </w:pPr>
            <w:r>
              <w:rPr>
                <w:sz w:val="17"/>
                <w:szCs w:val="17"/>
              </w:rPr>
              <w:t>0</w:t>
            </w:r>
          </w:p>
        </w:tc>
        <w:tc>
          <w:tcPr>
            <w:tcW w:w="814" w:type="dxa"/>
            <w:shd w:val="clear" w:color="auto" w:fill="BEBEBE"/>
            <w:vAlign w:val="center"/>
          </w:tcPr>
          <w:p w:rsidR="003073A4" w:rsidRDefault="000545DD">
            <w:pPr>
              <w:widowControl/>
              <w:jc w:val="center"/>
              <w:rPr>
                <w:sz w:val="17"/>
                <w:szCs w:val="17"/>
              </w:rPr>
            </w:pPr>
            <w:r>
              <w:rPr>
                <w:sz w:val="17"/>
                <w:szCs w:val="17"/>
              </w:rPr>
              <w:t>0</w:t>
            </w:r>
          </w:p>
        </w:tc>
        <w:tc>
          <w:tcPr>
            <w:tcW w:w="687" w:type="dxa"/>
            <w:shd w:val="clear" w:color="auto" w:fill="BEBEBE"/>
            <w:vAlign w:val="center"/>
          </w:tcPr>
          <w:p w:rsidR="003073A4" w:rsidRDefault="000545DD">
            <w:pPr>
              <w:widowControl/>
              <w:jc w:val="center"/>
              <w:rPr>
                <w:sz w:val="17"/>
                <w:szCs w:val="17"/>
              </w:rPr>
            </w:pPr>
            <w:r>
              <w:rPr>
                <w:sz w:val="17"/>
                <w:szCs w:val="17"/>
              </w:rPr>
              <w:t>0</w:t>
            </w:r>
          </w:p>
        </w:tc>
        <w:tc>
          <w:tcPr>
            <w:tcW w:w="1134" w:type="dxa"/>
            <w:shd w:val="clear" w:color="auto" w:fill="BEBEBE"/>
            <w:vAlign w:val="center"/>
          </w:tcPr>
          <w:p w:rsidR="003073A4" w:rsidRDefault="000545DD">
            <w:pPr>
              <w:widowControl/>
              <w:jc w:val="center"/>
              <w:rPr>
                <w:sz w:val="17"/>
                <w:szCs w:val="17"/>
              </w:rPr>
            </w:pPr>
            <w:r>
              <w:rPr>
                <w:sz w:val="17"/>
                <w:szCs w:val="17"/>
              </w:rPr>
              <w:t>0%</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GANHOS E PERDA DE CAPITAL</w:t>
            </w:r>
          </w:p>
        </w:tc>
        <w:tc>
          <w:tcPr>
            <w:tcW w:w="781" w:type="dxa"/>
            <w:shd w:val="clear" w:color="auto" w:fill="BEBEBE"/>
            <w:vAlign w:val="center"/>
          </w:tcPr>
          <w:p w:rsidR="003073A4" w:rsidRDefault="000545DD">
            <w:pPr>
              <w:widowControl/>
              <w:jc w:val="center"/>
              <w:rPr>
                <w:sz w:val="17"/>
                <w:szCs w:val="17"/>
              </w:rPr>
            </w:pPr>
            <w:r>
              <w:rPr>
                <w:sz w:val="17"/>
                <w:szCs w:val="17"/>
              </w:rPr>
              <w:t>0</w:t>
            </w:r>
          </w:p>
        </w:tc>
        <w:tc>
          <w:tcPr>
            <w:tcW w:w="1053" w:type="dxa"/>
            <w:shd w:val="clear" w:color="auto" w:fill="BEBEBE"/>
            <w:vAlign w:val="center"/>
          </w:tcPr>
          <w:p w:rsidR="003073A4" w:rsidRDefault="000545DD">
            <w:pPr>
              <w:widowControl/>
              <w:jc w:val="center"/>
              <w:rPr>
                <w:sz w:val="17"/>
                <w:szCs w:val="17"/>
              </w:rPr>
            </w:pPr>
            <w:r>
              <w:rPr>
                <w:sz w:val="17"/>
                <w:szCs w:val="17"/>
              </w:rPr>
              <w:t>0</w:t>
            </w:r>
          </w:p>
        </w:tc>
        <w:tc>
          <w:tcPr>
            <w:tcW w:w="888" w:type="dxa"/>
            <w:shd w:val="clear" w:color="auto" w:fill="BEBEBE"/>
            <w:vAlign w:val="center"/>
          </w:tcPr>
          <w:p w:rsidR="003073A4" w:rsidRDefault="000545DD">
            <w:pPr>
              <w:widowControl/>
              <w:jc w:val="center"/>
              <w:rPr>
                <w:sz w:val="17"/>
                <w:szCs w:val="17"/>
              </w:rPr>
            </w:pPr>
            <w:r>
              <w:rPr>
                <w:sz w:val="17"/>
                <w:szCs w:val="17"/>
              </w:rPr>
              <w:t>0</w:t>
            </w:r>
          </w:p>
        </w:tc>
        <w:tc>
          <w:tcPr>
            <w:tcW w:w="814" w:type="dxa"/>
            <w:shd w:val="clear" w:color="auto" w:fill="BEBEBE"/>
            <w:vAlign w:val="center"/>
          </w:tcPr>
          <w:p w:rsidR="003073A4" w:rsidRDefault="000545DD">
            <w:pPr>
              <w:widowControl/>
              <w:jc w:val="center"/>
              <w:rPr>
                <w:sz w:val="17"/>
                <w:szCs w:val="17"/>
              </w:rPr>
            </w:pPr>
            <w:r>
              <w:rPr>
                <w:sz w:val="17"/>
                <w:szCs w:val="17"/>
              </w:rPr>
              <w:t>0</w:t>
            </w:r>
          </w:p>
        </w:tc>
        <w:tc>
          <w:tcPr>
            <w:tcW w:w="687" w:type="dxa"/>
            <w:shd w:val="clear" w:color="auto" w:fill="BEBEBE"/>
            <w:vAlign w:val="center"/>
          </w:tcPr>
          <w:p w:rsidR="003073A4" w:rsidRDefault="000545DD">
            <w:pPr>
              <w:widowControl/>
              <w:jc w:val="center"/>
              <w:rPr>
                <w:sz w:val="17"/>
                <w:szCs w:val="17"/>
              </w:rPr>
            </w:pPr>
            <w:r>
              <w:rPr>
                <w:sz w:val="17"/>
                <w:szCs w:val="17"/>
              </w:rPr>
              <w:t>0</w:t>
            </w:r>
          </w:p>
        </w:tc>
        <w:tc>
          <w:tcPr>
            <w:tcW w:w="1134" w:type="dxa"/>
            <w:shd w:val="clear" w:color="auto" w:fill="BEBEBE"/>
            <w:vAlign w:val="center"/>
          </w:tcPr>
          <w:p w:rsidR="003073A4" w:rsidRDefault="000545DD">
            <w:pPr>
              <w:widowControl/>
              <w:jc w:val="center"/>
              <w:rPr>
                <w:sz w:val="17"/>
                <w:szCs w:val="17"/>
              </w:rPr>
            </w:pPr>
            <w:r>
              <w:rPr>
                <w:sz w:val="17"/>
                <w:szCs w:val="17"/>
              </w:rPr>
              <w:t>0%</w:t>
            </w:r>
          </w:p>
        </w:tc>
      </w:tr>
      <w:tr w:rsidR="003073A4">
        <w:trPr>
          <w:trHeight w:val="589"/>
        </w:trPr>
        <w:tc>
          <w:tcPr>
            <w:tcW w:w="3003" w:type="dxa"/>
            <w:shd w:val="clear" w:color="auto" w:fill="44536A"/>
            <w:vAlign w:val="center"/>
          </w:tcPr>
          <w:p w:rsidR="003073A4" w:rsidRDefault="000545DD">
            <w:pPr>
              <w:widowControl/>
              <w:rPr>
                <w:b/>
                <w:bCs/>
                <w:color w:val="FF0000"/>
                <w:sz w:val="17"/>
                <w:szCs w:val="17"/>
              </w:rPr>
            </w:pPr>
            <w:r>
              <w:rPr>
                <w:b/>
                <w:bCs/>
                <w:color w:val="FFFFFF"/>
                <w:sz w:val="17"/>
                <w:szCs w:val="17"/>
              </w:rPr>
              <w:t>RESULTADO OPERACIONAL ANTES DAS RECEITAS E DESPESAS FINANCEIRAS</w:t>
            </w:r>
          </w:p>
        </w:tc>
        <w:tc>
          <w:tcPr>
            <w:tcW w:w="781" w:type="dxa"/>
            <w:shd w:val="clear" w:color="auto" w:fill="44536A"/>
            <w:vAlign w:val="center"/>
          </w:tcPr>
          <w:p w:rsidR="003073A4" w:rsidRDefault="000545DD">
            <w:pPr>
              <w:widowControl/>
              <w:jc w:val="center"/>
              <w:rPr>
                <w:b/>
                <w:bCs/>
                <w:color w:val="FF0000"/>
                <w:sz w:val="17"/>
                <w:szCs w:val="17"/>
              </w:rPr>
            </w:pPr>
            <w:r>
              <w:rPr>
                <w:b/>
                <w:bCs/>
                <w:color w:val="FFFFFF"/>
                <w:sz w:val="17"/>
                <w:szCs w:val="17"/>
              </w:rPr>
              <w:t>100</w:t>
            </w:r>
          </w:p>
        </w:tc>
        <w:tc>
          <w:tcPr>
            <w:tcW w:w="1053" w:type="dxa"/>
            <w:shd w:val="clear" w:color="auto" w:fill="44536A"/>
            <w:vAlign w:val="center"/>
          </w:tcPr>
          <w:p w:rsidR="003073A4" w:rsidRDefault="000545DD">
            <w:pPr>
              <w:widowControl/>
              <w:jc w:val="center"/>
              <w:rPr>
                <w:b/>
                <w:bCs/>
                <w:color w:val="FF0000"/>
                <w:sz w:val="17"/>
                <w:szCs w:val="17"/>
              </w:rPr>
            </w:pPr>
            <w:r>
              <w:rPr>
                <w:b/>
                <w:bCs/>
                <w:color w:val="FFFFFF"/>
                <w:sz w:val="17"/>
                <w:szCs w:val="17"/>
              </w:rPr>
              <w:t>72.778</w:t>
            </w:r>
          </w:p>
        </w:tc>
        <w:tc>
          <w:tcPr>
            <w:tcW w:w="888" w:type="dxa"/>
            <w:shd w:val="clear" w:color="auto" w:fill="44536A"/>
            <w:vAlign w:val="center"/>
          </w:tcPr>
          <w:p w:rsidR="003073A4" w:rsidRDefault="000545DD">
            <w:pPr>
              <w:widowControl/>
              <w:jc w:val="center"/>
              <w:rPr>
                <w:b/>
                <w:bCs/>
                <w:color w:val="FF0000"/>
                <w:sz w:val="17"/>
                <w:szCs w:val="17"/>
              </w:rPr>
            </w:pPr>
            <w:r>
              <w:rPr>
                <w:b/>
                <w:bCs/>
                <w:color w:val="FFFFFF"/>
                <w:sz w:val="17"/>
                <w:szCs w:val="17"/>
              </w:rPr>
              <w:t>23.035</w:t>
            </w:r>
          </w:p>
        </w:tc>
        <w:tc>
          <w:tcPr>
            <w:tcW w:w="814" w:type="dxa"/>
            <w:shd w:val="clear" w:color="auto" w:fill="44536A"/>
            <w:vAlign w:val="center"/>
          </w:tcPr>
          <w:p w:rsidR="003073A4" w:rsidRDefault="000545DD">
            <w:pPr>
              <w:widowControl/>
              <w:jc w:val="center"/>
              <w:rPr>
                <w:b/>
                <w:bCs/>
                <w:color w:val="FF0000"/>
                <w:sz w:val="17"/>
                <w:szCs w:val="17"/>
              </w:rPr>
            </w:pPr>
            <w:r>
              <w:rPr>
                <w:b/>
                <w:bCs/>
                <w:color w:val="FFFFFF"/>
                <w:sz w:val="17"/>
                <w:szCs w:val="17"/>
              </w:rPr>
              <w:t>13.792</w:t>
            </w:r>
          </w:p>
        </w:tc>
        <w:tc>
          <w:tcPr>
            <w:tcW w:w="687" w:type="dxa"/>
            <w:shd w:val="clear" w:color="auto" w:fill="44536A"/>
            <w:vAlign w:val="center"/>
          </w:tcPr>
          <w:p w:rsidR="003073A4" w:rsidRDefault="000545DD">
            <w:pPr>
              <w:widowControl/>
              <w:jc w:val="center"/>
              <w:rPr>
                <w:b/>
                <w:bCs/>
                <w:color w:val="FF0000"/>
                <w:sz w:val="17"/>
                <w:szCs w:val="17"/>
              </w:rPr>
            </w:pPr>
            <w:r>
              <w:rPr>
                <w:b/>
                <w:bCs/>
                <w:color w:val="FFFFFF"/>
                <w:sz w:val="17"/>
                <w:szCs w:val="17"/>
              </w:rPr>
              <w:t>-695</w:t>
            </w:r>
          </w:p>
        </w:tc>
        <w:tc>
          <w:tcPr>
            <w:tcW w:w="1134" w:type="dxa"/>
            <w:shd w:val="clear" w:color="auto" w:fill="44536A"/>
            <w:vAlign w:val="center"/>
          </w:tcPr>
          <w:p w:rsidR="003073A4" w:rsidRDefault="000545DD">
            <w:pPr>
              <w:widowControl/>
              <w:jc w:val="center"/>
              <w:rPr>
                <w:b/>
                <w:bCs/>
                <w:color w:val="FF0000"/>
                <w:sz w:val="17"/>
                <w:szCs w:val="17"/>
              </w:rPr>
            </w:pPr>
            <w:r>
              <w:rPr>
                <w:b/>
                <w:bCs/>
                <w:color w:val="FFFFFF"/>
                <w:sz w:val="17"/>
                <w:szCs w:val="17"/>
              </w:rPr>
              <w:t>-105,04%</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RECEITAS FINANCEIRAS</w:t>
            </w:r>
          </w:p>
        </w:tc>
        <w:tc>
          <w:tcPr>
            <w:tcW w:w="781" w:type="dxa"/>
            <w:shd w:val="clear" w:color="auto" w:fill="BEBEBE"/>
            <w:vAlign w:val="center"/>
          </w:tcPr>
          <w:p w:rsidR="003073A4" w:rsidRDefault="000545DD">
            <w:pPr>
              <w:widowControl/>
              <w:jc w:val="center"/>
              <w:rPr>
                <w:sz w:val="17"/>
                <w:szCs w:val="17"/>
              </w:rPr>
            </w:pPr>
            <w:r>
              <w:rPr>
                <w:sz w:val="17"/>
                <w:szCs w:val="17"/>
              </w:rPr>
              <w:t>848</w:t>
            </w:r>
          </w:p>
        </w:tc>
        <w:tc>
          <w:tcPr>
            <w:tcW w:w="1053" w:type="dxa"/>
            <w:shd w:val="clear" w:color="auto" w:fill="BEBEBE"/>
            <w:vAlign w:val="center"/>
          </w:tcPr>
          <w:p w:rsidR="003073A4" w:rsidRDefault="000545DD">
            <w:pPr>
              <w:widowControl/>
              <w:jc w:val="center"/>
              <w:rPr>
                <w:sz w:val="17"/>
                <w:szCs w:val="17"/>
              </w:rPr>
            </w:pPr>
            <w:r>
              <w:rPr>
                <w:sz w:val="17"/>
                <w:szCs w:val="17"/>
              </w:rPr>
              <w:t>4.485</w:t>
            </w:r>
          </w:p>
        </w:tc>
        <w:tc>
          <w:tcPr>
            <w:tcW w:w="888" w:type="dxa"/>
            <w:shd w:val="clear" w:color="auto" w:fill="BEBEBE"/>
            <w:vAlign w:val="center"/>
          </w:tcPr>
          <w:p w:rsidR="003073A4" w:rsidRDefault="000545DD">
            <w:pPr>
              <w:widowControl/>
              <w:jc w:val="center"/>
              <w:rPr>
                <w:sz w:val="17"/>
                <w:szCs w:val="17"/>
              </w:rPr>
            </w:pPr>
            <w:r>
              <w:rPr>
                <w:sz w:val="17"/>
                <w:szCs w:val="17"/>
              </w:rPr>
              <w:t>7.130</w:t>
            </w:r>
          </w:p>
        </w:tc>
        <w:tc>
          <w:tcPr>
            <w:tcW w:w="814" w:type="dxa"/>
            <w:shd w:val="clear" w:color="auto" w:fill="BEBEBE"/>
            <w:vAlign w:val="center"/>
          </w:tcPr>
          <w:p w:rsidR="003073A4" w:rsidRDefault="000545DD">
            <w:pPr>
              <w:widowControl/>
              <w:jc w:val="center"/>
              <w:rPr>
                <w:sz w:val="17"/>
                <w:szCs w:val="17"/>
              </w:rPr>
            </w:pPr>
            <w:r>
              <w:rPr>
                <w:sz w:val="17"/>
                <w:szCs w:val="17"/>
              </w:rPr>
              <w:t>6.020</w:t>
            </w:r>
          </w:p>
        </w:tc>
        <w:tc>
          <w:tcPr>
            <w:tcW w:w="687" w:type="dxa"/>
            <w:shd w:val="clear" w:color="auto" w:fill="BEBEBE"/>
            <w:vAlign w:val="center"/>
          </w:tcPr>
          <w:p w:rsidR="003073A4" w:rsidRDefault="000545DD">
            <w:pPr>
              <w:widowControl/>
              <w:jc w:val="center"/>
              <w:rPr>
                <w:sz w:val="17"/>
                <w:szCs w:val="17"/>
              </w:rPr>
            </w:pPr>
            <w:r>
              <w:rPr>
                <w:sz w:val="17"/>
                <w:szCs w:val="17"/>
              </w:rPr>
              <w:t>9.340</w:t>
            </w:r>
          </w:p>
        </w:tc>
        <w:tc>
          <w:tcPr>
            <w:tcW w:w="1134" w:type="dxa"/>
            <w:shd w:val="clear" w:color="auto" w:fill="BEBEBE"/>
            <w:vAlign w:val="center"/>
          </w:tcPr>
          <w:p w:rsidR="003073A4" w:rsidRDefault="000545DD">
            <w:pPr>
              <w:widowControl/>
              <w:jc w:val="center"/>
              <w:rPr>
                <w:sz w:val="17"/>
                <w:szCs w:val="17"/>
              </w:rPr>
            </w:pPr>
            <w:r>
              <w:rPr>
                <w:sz w:val="17"/>
                <w:szCs w:val="17"/>
              </w:rPr>
              <w:t>55,15%</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DESPESAS FINANCEIRAS</w:t>
            </w:r>
          </w:p>
        </w:tc>
        <w:tc>
          <w:tcPr>
            <w:tcW w:w="781" w:type="dxa"/>
            <w:shd w:val="clear" w:color="auto" w:fill="BEBEBE"/>
            <w:vAlign w:val="center"/>
          </w:tcPr>
          <w:p w:rsidR="003073A4" w:rsidRDefault="000545DD">
            <w:pPr>
              <w:widowControl/>
              <w:jc w:val="center"/>
              <w:rPr>
                <w:sz w:val="17"/>
                <w:szCs w:val="17"/>
              </w:rPr>
            </w:pPr>
            <w:r>
              <w:rPr>
                <w:sz w:val="17"/>
                <w:szCs w:val="17"/>
              </w:rPr>
              <w:t>-5.683</w:t>
            </w:r>
          </w:p>
        </w:tc>
        <w:tc>
          <w:tcPr>
            <w:tcW w:w="1053" w:type="dxa"/>
            <w:shd w:val="clear" w:color="auto" w:fill="BEBEBE"/>
            <w:vAlign w:val="center"/>
          </w:tcPr>
          <w:p w:rsidR="003073A4" w:rsidRDefault="000545DD">
            <w:pPr>
              <w:widowControl/>
              <w:jc w:val="center"/>
              <w:rPr>
                <w:sz w:val="17"/>
                <w:szCs w:val="17"/>
              </w:rPr>
            </w:pPr>
            <w:r>
              <w:rPr>
                <w:sz w:val="17"/>
                <w:szCs w:val="17"/>
              </w:rPr>
              <w:t>-5.462</w:t>
            </w:r>
          </w:p>
        </w:tc>
        <w:tc>
          <w:tcPr>
            <w:tcW w:w="888" w:type="dxa"/>
            <w:shd w:val="clear" w:color="auto" w:fill="BEBEBE"/>
            <w:vAlign w:val="center"/>
          </w:tcPr>
          <w:p w:rsidR="003073A4" w:rsidRDefault="000545DD">
            <w:pPr>
              <w:widowControl/>
              <w:jc w:val="center"/>
              <w:rPr>
                <w:sz w:val="17"/>
                <w:szCs w:val="17"/>
              </w:rPr>
            </w:pPr>
            <w:r>
              <w:rPr>
                <w:sz w:val="17"/>
                <w:szCs w:val="17"/>
              </w:rPr>
              <w:t>-4.563</w:t>
            </w:r>
          </w:p>
        </w:tc>
        <w:tc>
          <w:tcPr>
            <w:tcW w:w="814" w:type="dxa"/>
            <w:shd w:val="clear" w:color="auto" w:fill="BEBEBE"/>
            <w:vAlign w:val="center"/>
          </w:tcPr>
          <w:p w:rsidR="003073A4" w:rsidRDefault="000545DD">
            <w:pPr>
              <w:widowControl/>
              <w:jc w:val="center"/>
              <w:rPr>
                <w:sz w:val="17"/>
                <w:szCs w:val="17"/>
              </w:rPr>
            </w:pPr>
            <w:r>
              <w:rPr>
                <w:sz w:val="17"/>
                <w:szCs w:val="17"/>
              </w:rPr>
              <w:t>-4.488</w:t>
            </w:r>
          </w:p>
        </w:tc>
        <w:tc>
          <w:tcPr>
            <w:tcW w:w="687" w:type="dxa"/>
            <w:shd w:val="clear" w:color="auto" w:fill="BEBEBE"/>
            <w:vAlign w:val="center"/>
          </w:tcPr>
          <w:p w:rsidR="003073A4" w:rsidRDefault="000545DD">
            <w:pPr>
              <w:widowControl/>
              <w:jc w:val="center"/>
              <w:rPr>
                <w:sz w:val="17"/>
                <w:szCs w:val="17"/>
              </w:rPr>
            </w:pPr>
            <w:r>
              <w:rPr>
                <w:sz w:val="17"/>
                <w:szCs w:val="17"/>
              </w:rPr>
              <w:t>-5.424</w:t>
            </w:r>
          </w:p>
        </w:tc>
        <w:tc>
          <w:tcPr>
            <w:tcW w:w="1134" w:type="dxa"/>
            <w:shd w:val="clear" w:color="auto" w:fill="BEBEBE"/>
            <w:vAlign w:val="center"/>
          </w:tcPr>
          <w:p w:rsidR="003073A4" w:rsidRDefault="000545DD">
            <w:pPr>
              <w:widowControl/>
              <w:jc w:val="center"/>
              <w:rPr>
                <w:sz w:val="17"/>
                <w:szCs w:val="17"/>
              </w:rPr>
            </w:pPr>
            <w:r>
              <w:rPr>
                <w:sz w:val="17"/>
                <w:szCs w:val="17"/>
              </w:rPr>
              <w:t>20,86%</w:t>
            </w:r>
          </w:p>
        </w:tc>
      </w:tr>
      <w:tr w:rsidR="003073A4">
        <w:trPr>
          <w:trHeight w:val="734"/>
        </w:trPr>
        <w:tc>
          <w:tcPr>
            <w:tcW w:w="3003" w:type="dxa"/>
            <w:shd w:val="clear" w:color="auto" w:fill="44536A"/>
            <w:vAlign w:val="center"/>
          </w:tcPr>
          <w:p w:rsidR="003073A4" w:rsidRDefault="000545DD">
            <w:pPr>
              <w:widowControl/>
              <w:rPr>
                <w:b/>
                <w:bCs/>
                <w:color w:val="FF0000"/>
                <w:sz w:val="17"/>
                <w:szCs w:val="17"/>
              </w:rPr>
            </w:pPr>
            <w:r>
              <w:rPr>
                <w:b/>
                <w:bCs/>
                <w:color w:val="FFFFFF"/>
                <w:sz w:val="17"/>
                <w:szCs w:val="17"/>
              </w:rPr>
              <w:t>RESULTADO ANTES DOS TRIBUTOS SOBRE O LUCRO</w:t>
            </w:r>
          </w:p>
        </w:tc>
        <w:tc>
          <w:tcPr>
            <w:tcW w:w="781" w:type="dxa"/>
            <w:shd w:val="clear" w:color="auto" w:fill="44536A"/>
            <w:vAlign w:val="center"/>
          </w:tcPr>
          <w:p w:rsidR="003073A4" w:rsidRDefault="000545DD">
            <w:pPr>
              <w:widowControl/>
              <w:jc w:val="center"/>
              <w:rPr>
                <w:b/>
                <w:bCs/>
                <w:color w:val="FF0000"/>
                <w:sz w:val="17"/>
                <w:szCs w:val="17"/>
              </w:rPr>
            </w:pPr>
            <w:r>
              <w:rPr>
                <w:b/>
                <w:bCs/>
                <w:color w:val="FFFFFF"/>
                <w:sz w:val="17"/>
                <w:szCs w:val="17"/>
              </w:rPr>
              <w:t>-4.735</w:t>
            </w:r>
          </w:p>
        </w:tc>
        <w:tc>
          <w:tcPr>
            <w:tcW w:w="1053" w:type="dxa"/>
            <w:shd w:val="clear" w:color="auto" w:fill="44536A"/>
            <w:vAlign w:val="center"/>
          </w:tcPr>
          <w:p w:rsidR="003073A4" w:rsidRDefault="000545DD">
            <w:pPr>
              <w:widowControl/>
              <w:jc w:val="center"/>
              <w:rPr>
                <w:b/>
                <w:bCs/>
                <w:color w:val="FF0000"/>
                <w:sz w:val="17"/>
                <w:szCs w:val="17"/>
              </w:rPr>
            </w:pPr>
            <w:r>
              <w:rPr>
                <w:b/>
                <w:bCs/>
                <w:color w:val="FFFFFF"/>
                <w:sz w:val="17"/>
                <w:szCs w:val="17"/>
              </w:rPr>
              <w:t>71.800</w:t>
            </w:r>
          </w:p>
        </w:tc>
        <w:tc>
          <w:tcPr>
            <w:tcW w:w="888" w:type="dxa"/>
            <w:shd w:val="clear" w:color="auto" w:fill="44536A"/>
            <w:vAlign w:val="center"/>
          </w:tcPr>
          <w:p w:rsidR="003073A4" w:rsidRDefault="000545DD">
            <w:pPr>
              <w:widowControl/>
              <w:jc w:val="center"/>
              <w:rPr>
                <w:b/>
                <w:bCs/>
                <w:color w:val="FF0000"/>
                <w:sz w:val="17"/>
                <w:szCs w:val="17"/>
              </w:rPr>
            </w:pPr>
            <w:r>
              <w:rPr>
                <w:b/>
                <w:bCs/>
                <w:color w:val="FFFFFF"/>
                <w:sz w:val="17"/>
                <w:szCs w:val="17"/>
              </w:rPr>
              <w:t>25.602</w:t>
            </w:r>
          </w:p>
        </w:tc>
        <w:tc>
          <w:tcPr>
            <w:tcW w:w="814" w:type="dxa"/>
            <w:shd w:val="clear" w:color="auto" w:fill="44536A"/>
            <w:vAlign w:val="center"/>
          </w:tcPr>
          <w:p w:rsidR="003073A4" w:rsidRDefault="000545DD">
            <w:pPr>
              <w:widowControl/>
              <w:jc w:val="center"/>
              <w:rPr>
                <w:b/>
                <w:bCs/>
                <w:color w:val="FF0000"/>
                <w:sz w:val="17"/>
                <w:szCs w:val="17"/>
              </w:rPr>
            </w:pPr>
            <w:r>
              <w:rPr>
                <w:b/>
                <w:bCs/>
                <w:color w:val="FFFFFF"/>
                <w:sz w:val="17"/>
                <w:szCs w:val="17"/>
              </w:rPr>
              <w:t>15.324</w:t>
            </w:r>
          </w:p>
        </w:tc>
        <w:tc>
          <w:tcPr>
            <w:tcW w:w="687" w:type="dxa"/>
            <w:shd w:val="clear" w:color="auto" w:fill="44536A"/>
            <w:vAlign w:val="center"/>
          </w:tcPr>
          <w:p w:rsidR="003073A4" w:rsidRDefault="000545DD">
            <w:pPr>
              <w:widowControl/>
              <w:jc w:val="center"/>
              <w:rPr>
                <w:b/>
                <w:bCs/>
                <w:color w:val="FFFFFF"/>
                <w:sz w:val="17"/>
                <w:szCs w:val="17"/>
              </w:rPr>
            </w:pPr>
            <w:r>
              <w:rPr>
                <w:b/>
                <w:bCs/>
                <w:color w:val="FFFFFF"/>
                <w:sz w:val="17"/>
                <w:szCs w:val="17"/>
              </w:rPr>
              <w:t>3.221</w:t>
            </w:r>
          </w:p>
        </w:tc>
        <w:tc>
          <w:tcPr>
            <w:tcW w:w="1134" w:type="dxa"/>
            <w:shd w:val="clear" w:color="auto" w:fill="44536A"/>
            <w:vAlign w:val="center"/>
          </w:tcPr>
          <w:p w:rsidR="003073A4" w:rsidRDefault="000545DD">
            <w:pPr>
              <w:widowControl/>
              <w:jc w:val="center"/>
              <w:rPr>
                <w:b/>
                <w:bCs/>
                <w:color w:val="FF0000"/>
                <w:sz w:val="17"/>
                <w:szCs w:val="17"/>
              </w:rPr>
            </w:pPr>
            <w:r>
              <w:rPr>
                <w:b/>
                <w:bCs/>
                <w:color w:val="FFFFFF"/>
                <w:sz w:val="17"/>
                <w:szCs w:val="17"/>
              </w:rPr>
              <w:t>-78,98%</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PROVISÃO PARA IR E CSLL</w:t>
            </w:r>
          </w:p>
        </w:tc>
        <w:tc>
          <w:tcPr>
            <w:tcW w:w="781" w:type="dxa"/>
            <w:shd w:val="clear" w:color="auto" w:fill="BEBEBE"/>
            <w:vAlign w:val="center"/>
          </w:tcPr>
          <w:p w:rsidR="003073A4" w:rsidRDefault="000545DD">
            <w:pPr>
              <w:widowControl/>
              <w:jc w:val="center"/>
              <w:rPr>
                <w:sz w:val="17"/>
                <w:szCs w:val="17"/>
              </w:rPr>
            </w:pPr>
            <w:r>
              <w:rPr>
                <w:sz w:val="17"/>
                <w:szCs w:val="17"/>
              </w:rPr>
              <w:t>0</w:t>
            </w:r>
          </w:p>
        </w:tc>
        <w:tc>
          <w:tcPr>
            <w:tcW w:w="1053" w:type="dxa"/>
            <w:shd w:val="clear" w:color="auto" w:fill="BEBEBE"/>
            <w:vAlign w:val="center"/>
          </w:tcPr>
          <w:p w:rsidR="003073A4" w:rsidRDefault="000545DD">
            <w:pPr>
              <w:widowControl/>
              <w:jc w:val="center"/>
              <w:rPr>
                <w:sz w:val="17"/>
                <w:szCs w:val="17"/>
              </w:rPr>
            </w:pPr>
            <w:r>
              <w:rPr>
                <w:sz w:val="17"/>
                <w:szCs w:val="17"/>
              </w:rPr>
              <w:t>-17.944</w:t>
            </w:r>
          </w:p>
        </w:tc>
        <w:tc>
          <w:tcPr>
            <w:tcW w:w="888" w:type="dxa"/>
            <w:shd w:val="clear" w:color="auto" w:fill="BEBEBE"/>
            <w:vAlign w:val="center"/>
          </w:tcPr>
          <w:p w:rsidR="003073A4" w:rsidRDefault="000545DD">
            <w:pPr>
              <w:widowControl/>
              <w:jc w:val="center"/>
              <w:rPr>
                <w:sz w:val="17"/>
                <w:szCs w:val="17"/>
              </w:rPr>
            </w:pPr>
            <w:r>
              <w:rPr>
                <w:sz w:val="17"/>
                <w:szCs w:val="17"/>
              </w:rPr>
              <w:t>11.017</w:t>
            </w:r>
          </w:p>
        </w:tc>
        <w:tc>
          <w:tcPr>
            <w:tcW w:w="814" w:type="dxa"/>
            <w:shd w:val="clear" w:color="auto" w:fill="BEBEBE"/>
            <w:vAlign w:val="center"/>
          </w:tcPr>
          <w:p w:rsidR="003073A4" w:rsidRDefault="000545DD">
            <w:pPr>
              <w:widowControl/>
              <w:jc w:val="center"/>
              <w:rPr>
                <w:sz w:val="17"/>
                <w:szCs w:val="17"/>
              </w:rPr>
            </w:pPr>
            <w:r>
              <w:rPr>
                <w:sz w:val="17"/>
                <w:szCs w:val="17"/>
              </w:rPr>
              <w:t>-926</w:t>
            </w:r>
          </w:p>
        </w:tc>
        <w:tc>
          <w:tcPr>
            <w:tcW w:w="687" w:type="dxa"/>
            <w:shd w:val="clear" w:color="auto" w:fill="BEBEBE"/>
            <w:vAlign w:val="center"/>
          </w:tcPr>
          <w:p w:rsidR="003073A4" w:rsidRDefault="000545DD">
            <w:pPr>
              <w:widowControl/>
              <w:jc w:val="center"/>
              <w:rPr>
                <w:sz w:val="17"/>
                <w:szCs w:val="17"/>
              </w:rPr>
            </w:pPr>
            <w:r>
              <w:rPr>
                <w:sz w:val="17"/>
                <w:szCs w:val="17"/>
              </w:rPr>
              <w:t>-144</w:t>
            </w:r>
          </w:p>
        </w:tc>
        <w:tc>
          <w:tcPr>
            <w:tcW w:w="1134" w:type="dxa"/>
            <w:shd w:val="clear" w:color="auto" w:fill="BEBEBE"/>
            <w:vAlign w:val="center"/>
          </w:tcPr>
          <w:p w:rsidR="003073A4" w:rsidRDefault="000545DD">
            <w:pPr>
              <w:widowControl/>
              <w:jc w:val="center"/>
              <w:rPr>
                <w:sz w:val="17"/>
                <w:szCs w:val="17"/>
              </w:rPr>
            </w:pPr>
            <w:r>
              <w:rPr>
                <w:sz w:val="17"/>
                <w:szCs w:val="17"/>
              </w:rPr>
              <w:t>-84,45%</w:t>
            </w:r>
          </w:p>
        </w:tc>
      </w:tr>
      <w:tr w:rsidR="003073A4">
        <w:trPr>
          <w:trHeight w:val="315"/>
        </w:trPr>
        <w:tc>
          <w:tcPr>
            <w:tcW w:w="3003" w:type="dxa"/>
            <w:shd w:val="clear" w:color="auto" w:fill="8496AF"/>
            <w:vAlign w:val="center"/>
          </w:tcPr>
          <w:p w:rsidR="003073A4" w:rsidRDefault="000545DD">
            <w:pPr>
              <w:widowControl/>
              <w:rPr>
                <w:b/>
                <w:bCs/>
                <w:sz w:val="17"/>
                <w:szCs w:val="17"/>
              </w:rPr>
            </w:pPr>
            <w:r>
              <w:rPr>
                <w:b/>
                <w:bCs/>
                <w:sz w:val="17"/>
                <w:szCs w:val="17"/>
              </w:rPr>
              <w:t>IMPOSTOS DIFERIDOS</w:t>
            </w:r>
          </w:p>
        </w:tc>
        <w:tc>
          <w:tcPr>
            <w:tcW w:w="781" w:type="dxa"/>
            <w:shd w:val="clear" w:color="auto" w:fill="BEBEBE"/>
            <w:vAlign w:val="center"/>
          </w:tcPr>
          <w:p w:rsidR="003073A4" w:rsidRDefault="000545DD">
            <w:pPr>
              <w:widowControl/>
              <w:jc w:val="center"/>
              <w:rPr>
                <w:sz w:val="17"/>
                <w:szCs w:val="17"/>
              </w:rPr>
            </w:pPr>
            <w:r>
              <w:rPr>
                <w:sz w:val="17"/>
                <w:szCs w:val="17"/>
              </w:rPr>
              <w:t>0</w:t>
            </w:r>
          </w:p>
        </w:tc>
        <w:tc>
          <w:tcPr>
            <w:tcW w:w="1053" w:type="dxa"/>
            <w:shd w:val="clear" w:color="auto" w:fill="BEBEBE"/>
            <w:vAlign w:val="center"/>
          </w:tcPr>
          <w:p w:rsidR="003073A4" w:rsidRDefault="000545DD">
            <w:pPr>
              <w:widowControl/>
              <w:jc w:val="center"/>
              <w:rPr>
                <w:sz w:val="17"/>
                <w:szCs w:val="17"/>
              </w:rPr>
            </w:pPr>
            <w:r>
              <w:rPr>
                <w:sz w:val="17"/>
                <w:szCs w:val="17"/>
              </w:rPr>
              <w:t>-17.944</w:t>
            </w:r>
          </w:p>
        </w:tc>
        <w:tc>
          <w:tcPr>
            <w:tcW w:w="888" w:type="dxa"/>
            <w:shd w:val="clear" w:color="auto" w:fill="BEBEBE"/>
            <w:vAlign w:val="center"/>
          </w:tcPr>
          <w:p w:rsidR="003073A4" w:rsidRDefault="000545DD">
            <w:pPr>
              <w:widowControl/>
              <w:jc w:val="center"/>
              <w:rPr>
                <w:sz w:val="17"/>
                <w:szCs w:val="17"/>
              </w:rPr>
            </w:pPr>
            <w:r>
              <w:rPr>
                <w:sz w:val="17"/>
                <w:szCs w:val="17"/>
              </w:rPr>
              <w:t>-1.535</w:t>
            </w:r>
          </w:p>
        </w:tc>
        <w:tc>
          <w:tcPr>
            <w:tcW w:w="814" w:type="dxa"/>
            <w:shd w:val="clear" w:color="auto" w:fill="BEBEBE"/>
            <w:vAlign w:val="center"/>
          </w:tcPr>
          <w:p w:rsidR="003073A4" w:rsidRDefault="000545DD">
            <w:pPr>
              <w:widowControl/>
              <w:jc w:val="center"/>
              <w:rPr>
                <w:sz w:val="17"/>
                <w:szCs w:val="17"/>
              </w:rPr>
            </w:pPr>
            <w:r>
              <w:rPr>
                <w:sz w:val="17"/>
                <w:szCs w:val="17"/>
              </w:rPr>
              <w:t>-800</w:t>
            </w:r>
          </w:p>
        </w:tc>
        <w:tc>
          <w:tcPr>
            <w:tcW w:w="687" w:type="dxa"/>
            <w:shd w:val="clear" w:color="auto" w:fill="BEBEBE"/>
            <w:vAlign w:val="center"/>
          </w:tcPr>
          <w:p w:rsidR="003073A4" w:rsidRDefault="000545DD">
            <w:pPr>
              <w:widowControl/>
              <w:jc w:val="center"/>
              <w:rPr>
                <w:sz w:val="17"/>
                <w:szCs w:val="17"/>
              </w:rPr>
            </w:pPr>
            <w:r>
              <w:rPr>
                <w:sz w:val="17"/>
                <w:szCs w:val="17"/>
              </w:rPr>
              <w:t>-133</w:t>
            </w:r>
          </w:p>
        </w:tc>
        <w:tc>
          <w:tcPr>
            <w:tcW w:w="1134" w:type="dxa"/>
            <w:shd w:val="clear" w:color="auto" w:fill="BEBEBE"/>
            <w:vAlign w:val="center"/>
          </w:tcPr>
          <w:p w:rsidR="003073A4" w:rsidRDefault="000545DD">
            <w:pPr>
              <w:widowControl/>
              <w:jc w:val="center"/>
              <w:rPr>
                <w:sz w:val="17"/>
                <w:szCs w:val="17"/>
              </w:rPr>
            </w:pPr>
            <w:r>
              <w:rPr>
                <w:sz w:val="17"/>
                <w:szCs w:val="17"/>
              </w:rPr>
              <w:t>-83,38%</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CSLL CORRENTE</w:t>
            </w:r>
          </w:p>
        </w:tc>
        <w:tc>
          <w:tcPr>
            <w:tcW w:w="781" w:type="dxa"/>
            <w:shd w:val="clear" w:color="auto" w:fill="BEBEBE"/>
            <w:vAlign w:val="center"/>
          </w:tcPr>
          <w:p w:rsidR="003073A4" w:rsidRDefault="000545DD">
            <w:pPr>
              <w:widowControl/>
              <w:jc w:val="center"/>
              <w:rPr>
                <w:sz w:val="17"/>
                <w:szCs w:val="17"/>
              </w:rPr>
            </w:pPr>
            <w:r>
              <w:rPr>
                <w:sz w:val="17"/>
                <w:szCs w:val="17"/>
              </w:rPr>
              <w:t>0</w:t>
            </w:r>
          </w:p>
        </w:tc>
        <w:tc>
          <w:tcPr>
            <w:tcW w:w="1053" w:type="dxa"/>
            <w:shd w:val="clear" w:color="auto" w:fill="BEBEBE"/>
            <w:vAlign w:val="center"/>
          </w:tcPr>
          <w:p w:rsidR="003073A4" w:rsidRDefault="000545DD">
            <w:pPr>
              <w:widowControl/>
              <w:jc w:val="center"/>
              <w:rPr>
                <w:sz w:val="17"/>
                <w:szCs w:val="17"/>
              </w:rPr>
            </w:pPr>
            <w:r>
              <w:rPr>
                <w:sz w:val="17"/>
                <w:szCs w:val="17"/>
              </w:rPr>
              <w:t>0</w:t>
            </w:r>
          </w:p>
        </w:tc>
        <w:tc>
          <w:tcPr>
            <w:tcW w:w="888" w:type="dxa"/>
            <w:shd w:val="clear" w:color="auto" w:fill="BEBEBE"/>
            <w:vAlign w:val="center"/>
          </w:tcPr>
          <w:p w:rsidR="003073A4" w:rsidRDefault="000545DD">
            <w:pPr>
              <w:widowControl/>
              <w:jc w:val="center"/>
              <w:rPr>
                <w:sz w:val="17"/>
                <w:szCs w:val="17"/>
              </w:rPr>
            </w:pPr>
            <w:r>
              <w:rPr>
                <w:sz w:val="17"/>
                <w:szCs w:val="17"/>
              </w:rPr>
              <w:t>-642</w:t>
            </w:r>
          </w:p>
        </w:tc>
        <w:tc>
          <w:tcPr>
            <w:tcW w:w="814" w:type="dxa"/>
            <w:shd w:val="clear" w:color="auto" w:fill="BEBEBE"/>
            <w:vAlign w:val="center"/>
          </w:tcPr>
          <w:p w:rsidR="003073A4" w:rsidRDefault="000545DD">
            <w:pPr>
              <w:widowControl/>
              <w:jc w:val="center"/>
              <w:rPr>
                <w:sz w:val="17"/>
                <w:szCs w:val="17"/>
              </w:rPr>
            </w:pPr>
            <w:r>
              <w:rPr>
                <w:sz w:val="17"/>
                <w:szCs w:val="17"/>
              </w:rPr>
              <w:t>-126</w:t>
            </w:r>
          </w:p>
        </w:tc>
        <w:tc>
          <w:tcPr>
            <w:tcW w:w="687" w:type="dxa"/>
            <w:shd w:val="clear" w:color="auto" w:fill="BEBEBE"/>
            <w:vAlign w:val="center"/>
          </w:tcPr>
          <w:p w:rsidR="003073A4" w:rsidRDefault="000545DD">
            <w:pPr>
              <w:widowControl/>
              <w:jc w:val="center"/>
              <w:rPr>
                <w:sz w:val="17"/>
                <w:szCs w:val="17"/>
              </w:rPr>
            </w:pPr>
            <w:r>
              <w:rPr>
                <w:sz w:val="17"/>
                <w:szCs w:val="17"/>
              </w:rPr>
              <w:t>-11</w:t>
            </w:r>
          </w:p>
        </w:tc>
        <w:tc>
          <w:tcPr>
            <w:tcW w:w="1134" w:type="dxa"/>
            <w:shd w:val="clear" w:color="auto" w:fill="BEBEBE"/>
            <w:vAlign w:val="center"/>
          </w:tcPr>
          <w:p w:rsidR="003073A4" w:rsidRDefault="000545DD">
            <w:pPr>
              <w:widowControl/>
              <w:jc w:val="center"/>
              <w:rPr>
                <w:sz w:val="17"/>
                <w:szCs w:val="17"/>
              </w:rPr>
            </w:pPr>
            <w:r>
              <w:rPr>
                <w:sz w:val="17"/>
                <w:szCs w:val="17"/>
              </w:rPr>
              <w:t>-91,27%</w:t>
            </w:r>
          </w:p>
        </w:tc>
      </w:tr>
      <w:tr w:rsidR="003073A4">
        <w:trPr>
          <w:trHeight w:val="525"/>
        </w:trPr>
        <w:tc>
          <w:tcPr>
            <w:tcW w:w="3003" w:type="dxa"/>
            <w:shd w:val="clear" w:color="auto" w:fill="8496AF"/>
            <w:vAlign w:val="center"/>
          </w:tcPr>
          <w:p w:rsidR="003073A4" w:rsidRDefault="000545DD">
            <w:pPr>
              <w:widowControl/>
              <w:rPr>
                <w:b/>
                <w:bCs/>
                <w:sz w:val="17"/>
                <w:szCs w:val="17"/>
              </w:rPr>
            </w:pPr>
            <w:r>
              <w:rPr>
                <w:b/>
                <w:bCs/>
                <w:sz w:val="17"/>
                <w:szCs w:val="17"/>
              </w:rPr>
              <w:t>DESPESAS COM TRIBUTOS SOBRE O LUCRO</w:t>
            </w:r>
          </w:p>
        </w:tc>
        <w:tc>
          <w:tcPr>
            <w:tcW w:w="781" w:type="dxa"/>
            <w:shd w:val="clear" w:color="auto" w:fill="BEBEBE"/>
            <w:vAlign w:val="center"/>
          </w:tcPr>
          <w:p w:rsidR="003073A4" w:rsidRDefault="000545DD">
            <w:pPr>
              <w:widowControl/>
              <w:jc w:val="center"/>
              <w:rPr>
                <w:sz w:val="17"/>
                <w:szCs w:val="17"/>
              </w:rPr>
            </w:pPr>
            <w:r>
              <w:rPr>
                <w:sz w:val="17"/>
                <w:szCs w:val="17"/>
              </w:rPr>
              <w:t>0</w:t>
            </w:r>
          </w:p>
        </w:tc>
        <w:tc>
          <w:tcPr>
            <w:tcW w:w="1053" w:type="dxa"/>
            <w:shd w:val="clear" w:color="auto" w:fill="BEBEBE"/>
            <w:vAlign w:val="center"/>
          </w:tcPr>
          <w:p w:rsidR="003073A4" w:rsidRDefault="000545DD">
            <w:pPr>
              <w:widowControl/>
              <w:jc w:val="center"/>
              <w:rPr>
                <w:sz w:val="17"/>
                <w:szCs w:val="17"/>
              </w:rPr>
            </w:pPr>
            <w:r>
              <w:rPr>
                <w:sz w:val="17"/>
                <w:szCs w:val="17"/>
              </w:rPr>
              <w:t>0</w:t>
            </w:r>
          </w:p>
        </w:tc>
        <w:tc>
          <w:tcPr>
            <w:tcW w:w="888" w:type="dxa"/>
            <w:shd w:val="clear" w:color="auto" w:fill="BEBEBE"/>
            <w:vAlign w:val="center"/>
          </w:tcPr>
          <w:p w:rsidR="003073A4" w:rsidRDefault="000545DD">
            <w:pPr>
              <w:widowControl/>
              <w:jc w:val="center"/>
              <w:rPr>
                <w:sz w:val="17"/>
                <w:szCs w:val="17"/>
              </w:rPr>
            </w:pPr>
            <w:r>
              <w:rPr>
                <w:sz w:val="17"/>
                <w:szCs w:val="17"/>
              </w:rPr>
              <w:t>13.194</w:t>
            </w:r>
          </w:p>
        </w:tc>
        <w:tc>
          <w:tcPr>
            <w:tcW w:w="814" w:type="dxa"/>
            <w:shd w:val="clear" w:color="auto" w:fill="BEBEBE"/>
            <w:vAlign w:val="center"/>
          </w:tcPr>
          <w:p w:rsidR="003073A4" w:rsidRDefault="000545DD">
            <w:pPr>
              <w:widowControl/>
              <w:jc w:val="center"/>
              <w:rPr>
                <w:sz w:val="17"/>
                <w:szCs w:val="17"/>
              </w:rPr>
            </w:pPr>
            <w:r>
              <w:rPr>
                <w:sz w:val="17"/>
                <w:szCs w:val="17"/>
              </w:rPr>
              <w:t>1</w:t>
            </w:r>
          </w:p>
        </w:tc>
        <w:tc>
          <w:tcPr>
            <w:tcW w:w="687" w:type="dxa"/>
            <w:shd w:val="clear" w:color="auto" w:fill="BEBEBE"/>
            <w:vAlign w:val="center"/>
          </w:tcPr>
          <w:p w:rsidR="003073A4" w:rsidRDefault="000545DD">
            <w:pPr>
              <w:widowControl/>
              <w:jc w:val="center"/>
              <w:rPr>
                <w:sz w:val="17"/>
                <w:szCs w:val="17"/>
              </w:rPr>
            </w:pPr>
            <w:r>
              <w:rPr>
                <w:sz w:val="17"/>
                <w:szCs w:val="17"/>
              </w:rPr>
              <w:t>0</w:t>
            </w:r>
          </w:p>
        </w:tc>
        <w:tc>
          <w:tcPr>
            <w:tcW w:w="1134" w:type="dxa"/>
            <w:shd w:val="clear" w:color="auto" w:fill="BEBEBE"/>
            <w:vAlign w:val="center"/>
          </w:tcPr>
          <w:p w:rsidR="003073A4" w:rsidRDefault="000545DD">
            <w:pPr>
              <w:widowControl/>
              <w:jc w:val="center"/>
              <w:rPr>
                <w:sz w:val="17"/>
                <w:szCs w:val="17"/>
              </w:rPr>
            </w:pPr>
            <w:r>
              <w:rPr>
                <w:sz w:val="17"/>
                <w:szCs w:val="17"/>
              </w:rPr>
              <w:t>-100%</w:t>
            </w:r>
          </w:p>
        </w:tc>
      </w:tr>
      <w:tr w:rsidR="003073A4">
        <w:trPr>
          <w:trHeight w:val="413"/>
        </w:trPr>
        <w:tc>
          <w:tcPr>
            <w:tcW w:w="3003" w:type="dxa"/>
            <w:shd w:val="clear" w:color="auto" w:fill="44536A"/>
            <w:vAlign w:val="center"/>
          </w:tcPr>
          <w:p w:rsidR="003073A4" w:rsidRDefault="000545DD">
            <w:pPr>
              <w:widowControl/>
              <w:rPr>
                <w:b/>
                <w:bCs/>
                <w:color w:val="FF0000"/>
                <w:sz w:val="17"/>
                <w:szCs w:val="17"/>
              </w:rPr>
            </w:pPr>
            <w:r>
              <w:rPr>
                <w:b/>
                <w:bCs/>
                <w:color w:val="FFFFFF"/>
                <w:sz w:val="17"/>
                <w:szCs w:val="17"/>
              </w:rPr>
              <w:t>LUCRO (PREJUÍZO) LÍQUIDO DO EXERCÍCIO</w:t>
            </w:r>
          </w:p>
        </w:tc>
        <w:tc>
          <w:tcPr>
            <w:tcW w:w="781" w:type="dxa"/>
            <w:shd w:val="clear" w:color="auto" w:fill="44536A"/>
            <w:vAlign w:val="center"/>
          </w:tcPr>
          <w:p w:rsidR="003073A4" w:rsidRDefault="000545DD">
            <w:pPr>
              <w:widowControl/>
              <w:jc w:val="center"/>
              <w:rPr>
                <w:b/>
                <w:bCs/>
                <w:color w:val="FF0000"/>
                <w:sz w:val="17"/>
                <w:szCs w:val="17"/>
              </w:rPr>
            </w:pPr>
            <w:r>
              <w:rPr>
                <w:b/>
                <w:bCs/>
                <w:color w:val="FFFFFF"/>
                <w:sz w:val="17"/>
                <w:szCs w:val="17"/>
              </w:rPr>
              <w:t>-4.735</w:t>
            </w:r>
          </w:p>
        </w:tc>
        <w:tc>
          <w:tcPr>
            <w:tcW w:w="1053" w:type="dxa"/>
            <w:shd w:val="clear" w:color="auto" w:fill="44536A"/>
            <w:vAlign w:val="center"/>
          </w:tcPr>
          <w:p w:rsidR="003073A4" w:rsidRDefault="000545DD">
            <w:pPr>
              <w:widowControl/>
              <w:jc w:val="center"/>
              <w:rPr>
                <w:b/>
                <w:bCs/>
                <w:color w:val="FF0000"/>
                <w:sz w:val="17"/>
                <w:szCs w:val="17"/>
              </w:rPr>
            </w:pPr>
            <w:r>
              <w:rPr>
                <w:b/>
                <w:bCs/>
                <w:color w:val="FFFFFF"/>
                <w:sz w:val="17"/>
                <w:szCs w:val="17"/>
              </w:rPr>
              <w:t>53.856</w:t>
            </w:r>
          </w:p>
        </w:tc>
        <w:tc>
          <w:tcPr>
            <w:tcW w:w="888" w:type="dxa"/>
            <w:shd w:val="clear" w:color="auto" w:fill="44536A"/>
            <w:vAlign w:val="center"/>
          </w:tcPr>
          <w:p w:rsidR="003073A4" w:rsidRDefault="000545DD">
            <w:pPr>
              <w:widowControl/>
              <w:jc w:val="center"/>
              <w:rPr>
                <w:b/>
                <w:bCs/>
                <w:color w:val="FF0000"/>
                <w:sz w:val="17"/>
                <w:szCs w:val="17"/>
              </w:rPr>
            </w:pPr>
            <w:r>
              <w:rPr>
                <w:b/>
                <w:bCs/>
                <w:color w:val="FFFFFF"/>
                <w:sz w:val="17"/>
                <w:szCs w:val="17"/>
              </w:rPr>
              <w:t>36.619</w:t>
            </w:r>
          </w:p>
        </w:tc>
        <w:tc>
          <w:tcPr>
            <w:tcW w:w="814" w:type="dxa"/>
            <w:shd w:val="clear" w:color="auto" w:fill="44536A"/>
            <w:vAlign w:val="center"/>
          </w:tcPr>
          <w:p w:rsidR="003073A4" w:rsidRDefault="000545DD">
            <w:pPr>
              <w:widowControl/>
              <w:jc w:val="center"/>
              <w:rPr>
                <w:b/>
                <w:bCs/>
                <w:color w:val="FF0000"/>
                <w:sz w:val="17"/>
                <w:szCs w:val="17"/>
              </w:rPr>
            </w:pPr>
            <w:r>
              <w:rPr>
                <w:b/>
                <w:bCs/>
                <w:color w:val="FFFFFF"/>
                <w:sz w:val="17"/>
                <w:szCs w:val="17"/>
              </w:rPr>
              <w:t>14.398</w:t>
            </w:r>
          </w:p>
        </w:tc>
        <w:tc>
          <w:tcPr>
            <w:tcW w:w="687" w:type="dxa"/>
            <w:shd w:val="clear" w:color="auto" w:fill="44536A"/>
            <w:vAlign w:val="center"/>
          </w:tcPr>
          <w:p w:rsidR="003073A4" w:rsidRDefault="000545DD">
            <w:pPr>
              <w:widowControl/>
              <w:jc w:val="center"/>
              <w:rPr>
                <w:b/>
                <w:bCs/>
                <w:color w:val="FF0000"/>
                <w:sz w:val="17"/>
                <w:szCs w:val="17"/>
              </w:rPr>
            </w:pPr>
            <w:r>
              <w:rPr>
                <w:b/>
                <w:bCs/>
                <w:color w:val="FFFFFF"/>
                <w:sz w:val="17"/>
                <w:szCs w:val="17"/>
              </w:rPr>
              <w:t>3.077</w:t>
            </w:r>
          </w:p>
        </w:tc>
        <w:tc>
          <w:tcPr>
            <w:tcW w:w="1134" w:type="dxa"/>
            <w:shd w:val="clear" w:color="auto" w:fill="44536A"/>
            <w:vAlign w:val="center"/>
          </w:tcPr>
          <w:p w:rsidR="003073A4" w:rsidRDefault="000545DD">
            <w:pPr>
              <w:widowControl/>
              <w:jc w:val="center"/>
              <w:rPr>
                <w:b/>
                <w:bCs/>
                <w:color w:val="FF0000"/>
                <w:sz w:val="17"/>
                <w:szCs w:val="17"/>
              </w:rPr>
            </w:pPr>
            <w:r>
              <w:rPr>
                <w:b/>
                <w:bCs/>
                <w:color w:val="FFFFFF"/>
                <w:sz w:val="17"/>
                <w:szCs w:val="17"/>
              </w:rPr>
              <w:t>-79%</w:t>
            </w:r>
          </w:p>
        </w:tc>
      </w:tr>
    </w:tbl>
    <w:p w:rsidR="003073A4" w:rsidRDefault="000545DD">
      <w:pPr>
        <w:spacing w:before="120" w:after="240"/>
        <w:ind w:left="221" w:hanging="221"/>
        <w:rPr>
          <w:color w:val="000000"/>
          <w:sz w:val="18"/>
          <w:szCs w:val="18"/>
        </w:rPr>
      </w:pPr>
      <w:r>
        <w:rPr>
          <w:color w:val="FFFFFF"/>
          <w:sz w:val="18"/>
          <w:szCs w:val="18"/>
        </w:rPr>
        <w:t>Fonte</w:t>
      </w:r>
      <w:r>
        <w:rPr>
          <w:color w:val="000000"/>
          <w:sz w:val="18"/>
          <w:szCs w:val="18"/>
        </w:rPr>
        <w:t xml:space="preserve"> Fonte: CODFIN - Coordenadoria </w:t>
      </w:r>
      <w:r w:rsidR="005E76D1">
        <w:rPr>
          <w:color w:val="000000"/>
          <w:sz w:val="18"/>
          <w:szCs w:val="18"/>
        </w:rPr>
        <w:t>Financeira</w:t>
      </w:r>
      <w:r>
        <w:rPr>
          <w:color w:val="000000"/>
          <w:sz w:val="18"/>
          <w:szCs w:val="18"/>
        </w:rPr>
        <w:t xml:space="preserve"> (2026)</w:t>
      </w:r>
    </w:p>
    <w:p w:rsidR="003073A4" w:rsidRDefault="000545DD">
      <w:pPr>
        <w:spacing w:after="120" w:line="360" w:lineRule="auto"/>
        <w:jc w:val="both"/>
        <w:rPr>
          <w:color w:val="000000"/>
        </w:rPr>
      </w:pPr>
      <w:r>
        <w:rPr>
          <w:color w:val="000000"/>
        </w:rPr>
        <w:t>As despesas com pessoal e encargos no exercício de 2025 totalizaram o montante de R$ 34.562 mil, representando um aumento de 11,43%, em relação ao exercício de 2024. O reajuste salarial do período, bem como o pagamento da participação nos lucros e resultados aos empregados (PLR), contribuíram para esse aumento.</w:t>
      </w:r>
    </w:p>
    <w:p w:rsidR="003073A4" w:rsidRDefault="000545DD">
      <w:pPr>
        <w:spacing w:after="120" w:line="360" w:lineRule="auto"/>
        <w:jc w:val="both"/>
        <w:rPr>
          <w:color w:val="000000"/>
        </w:rPr>
      </w:pPr>
      <w:r>
        <w:rPr>
          <w:color w:val="000000"/>
        </w:rPr>
        <w:t>As despesas com serviços de terceiros somaram R$ 34.025 mil, apresentando um aumento de 10,38%, em comparação com o exercício de 2024. Essa variação foi decorrente, principalmente, do aumento das seguintes despesas: serviço de manutenção, serviços vigilância patrimonial e serviços de informática.</w:t>
      </w:r>
    </w:p>
    <w:p w:rsidR="003073A4" w:rsidRDefault="000545DD">
      <w:pPr>
        <w:spacing w:line="360" w:lineRule="auto"/>
        <w:jc w:val="both"/>
        <w:rPr>
          <w:color w:val="000000"/>
        </w:rPr>
      </w:pPr>
      <w:r>
        <w:rPr>
          <w:color w:val="000000"/>
        </w:rPr>
        <w:t xml:space="preserve">As outras despesas alcançaram o valor de R$ 31.858 mil, representando uma redução de 2,22%, em </w:t>
      </w:r>
      <w:r>
        <w:rPr>
          <w:color w:val="000000"/>
        </w:rPr>
        <w:lastRenderedPageBreak/>
        <w:t xml:space="preserve">comparação a 2024.  Destaca-se o registro dos tributos diferidos referente aos processos judiciais que a CDC obteve êxito e as despesas atuariais referentes ao PORTUS.                          </w:t>
      </w:r>
    </w:p>
    <w:p w:rsidR="003073A4" w:rsidRDefault="000545DD">
      <w:pPr>
        <w:pBdr>
          <w:top w:val="nil"/>
          <w:left w:val="nil"/>
          <w:bottom w:val="nil"/>
          <w:right w:val="nil"/>
          <w:between w:val="nil"/>
        </w:pBdr>
        <w:spacing w:before="120" w:after="120" w:line="360" w:lineRule="auto"/>
        <w:ind w:right="195"/>
        <w:jc w:val="both"/>
        <w:rPr>
          <w:i/>
          <w:iCs/>
          <w:color w:val="000000"/>
          <w:sz w:val="18"/>
          <w:szCs w:val="18"/>
        </w:rPr>
      </w:pPr>
      <w:r>
        <w:rPr>
          <w:color w:val="000000"/>
          <w:sz w:val="18"/>
          <w:szCs w:val="18"/>
        </w:rPr>
        <w:t>Tabela 14 – Comportamento das despesas 2025 X 2024</w:t>
      </w:r>
    </w:p>
    <w:tbl>
      <w:tblPr>
        <w:tblStyle w:val="af0"/>
        <w:tblW w:w="891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992"/>
        <w:gridCol w:w="992"/>
        <w:gridCol w:w="992"/>
        <w:gridCol w:w="1843"/>
        <w:gridCol w:w="1974"/>
      </w:tblGrid>
      <w:tr w:rsidR="003073A4">
        <w:trPr>
          <w:trHeight w:val="495"/>
        </w:trPr>
        <w:tc>
          <w:tcPr>
            <w:tcW w:w="2127" w:type="dxa"/>
            <w:shd w:val="clear" w:color="auto" w:fill="203764"/>
            <w:vAlign w:val="center"/>
          </w:tcPr>
          <w:p w:rsidR="003073A4" w:rsidRDefault="000545DD">
            <w:pPr>
              <w:widowControl/>
              <w:jc w:val="center"/>
              <w:rPr>
                <w:b/>
                <w:bCs/>
                <w:color w:val="FFFFFF"/>
                <w:sz w:val="18"/>
                <w:szCs w:val="18"/>
              </w:rPr>
            </w:pPr>
            <w:r>
              <w:rPr>
                <w:b/>
                <w:bCs/>
                <w:color w:val="FFFFFF"/>
                <w:sz w:val="18"/>
                <w:szCs w:val="18"/>
              </w:rPr>
              <w:t>DESCRIÇÃO DA DESPESA (R$ MIL)</w:t>
            </w:r>
          </w:p>
        </w:tc>
        <w:tc>
          <w:tcPr>
            <w:tcW w:w="992"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992"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992" w:type="dxa"/>
            <w:shd w:val="clear" w:color="auto" w:fill="203764"/>
            <w:vAlign w:val="center"/>
          </w:tcPr>
          <w:p w:rsidR="003073A4" w:rsidRDefault="000545DD">
            <w:pPr>
              <w:widowControl/>
              <w:jc w:val="center"/>
              <w:rPr>
                <w:b/>
                <w:bCs/>
                <w:color w:val="FFFFFF"/>
                <w:sz w:val="18"/>
                <w:szCs w:val="18"/>
              </w:rPr>
            </w:pPr>
            <w:r>
              <w:rPr>
                <w:b/>
                <w:bCs/>
                <w:color w:val="FFFFFF"/>
                <w:sz w:val="18"/>
                <w:szCs w:val="18"/>
              </w:rPr>
              <w:t>Δ 25/24 %</w:t>
            </w:r>
          </w:p>
        </w:tc>
        <w:tc>
          <w:tcPr>
            <w:tcW w:w="1843" w:type="dxa"/>
            <w:shd w:val="clear" w:color="auto" w:fill="203764"/>
            <w:vAlign w:val="center"/>
          </w:tcPr>
          <w:p w:rsidR="003073A4" w:rsidRDefault="000545DD">
            <w:pPr>
              <w:widowControl/>
              <w:jc w:val="center"/>
              <w:rPr>
                <w:b/>
                <w:bCs/>
                <w:color w:val="FFFFFF"/>
                <w:sz w:val="18"/>
                <w:szCs w:val="18"/>
              </w:rPr>
            </w:pPr>
            <w:r>
              <w:rPr>
                <w:b/>
                <w:bCs/>
                <w:color w:val="FFFFFF"/>
                <w:sz w:val="18"/>
                <w:szCs w:val="18"/>
              </w:rPr>
              <w:t>PARTICIPAÇÃO NA DESPESA TOTAL – 2025 (%)</w:t>
            </w:r>
          </w:p>
        </w:tc>
        <w:tc>
          <w:tcPr>
            <w:tcW w:w="1974" w:type="dxa"/>
            <w:shd w:val="clear" w:color="auto" w:fill="203764"/>
            <w:vAlign w:val="center"/>
          </w:tcPr>
          <w:p w:rsidR="003073A4" w:rsidRDefault="000545DD">
            <w:pPr>
              <w:widowControl/>
              <w:jc w:val="center"/>
              <w:rPr>
                <w:b/>
                <w:bCs/>
                <w:color w:val="FFFFFF"/>
                <w:sz w:val="18"/>
                <w:szCs w:val="18"/>
              </w:rPr>
            </w:pPr>
            <w:r>
              <w:rPr>
                <w:b/>
                <w:bCs/>
                <w:color w:val="FFFFFF"/>
                <w:sz w:val="18"/>
                <w:szCs w:val="18"/>
              </w:rPr>
              <w:t>COMPROMETIMENTO DA RECEITA X DESP TOTAL (%)</w:t>
            </w:r>
          </w:p>
        </w:tc>
      </w:tr>
      <w:tr w:rsidR="003073A4">
        <w:trPr>
          <w:trHeight w:val="315"/>
        </w:trPr>
        <w:tc>
          <w:tcPr>
            <w:tcW w:w="2127" w:type="dxa"/>
            <w:shd w:val="clear" w:color="auto" w:fill="8496AF"/>
            <w:vAlign w:val="center"/>
          </w:tcPr>
          <w:p w:rsidR="003073A4" w:rsidRDefault="000545DD">
            <w:pPr>
              <w:widowControl/>
              <w:rPr>
                <w:b/>
                <w:bCs/>
                <w:sz w:val="18"/>
                <w:szCs w:val="18"/>
              </w:rPr>
            </w:pPr>
            <w:r>
              <w:rPr>
                <w:b/>
                <w:bCs/>
                <w:sz w:val="18"/>
                <w:szCs w:val="18"/>
              </w:rPr>
              <w:t>PESSOAL E ENCARGOS</w:t>
            </w:r>
          </w:p>
        </w:tc>
        <w:tc>
          <w:tcPr>
            <w:tcW w:w="992" w:type="dxa"/>
            <w:shd w:val="clear" w:color="auto" w:fill="BEBEBE"/>
            <w:vAlign w:val="center"/>
          </w:tcPr>
          <w:p w:rsidR="003073A4" w:rsidRDefault="000545DD">
            <w:pPr>
              <w:widowControl/>
              <w:jc w:val="center"/>
              <w:rPr>
                <w:sz w:val="18"/>
                <w:szCs w:val="18"/>
              </w:rPr>
            </w:pPr>
            <w:r>
              <w:rPr>
                <w:sz w:val="18"/>
                <w:szCs w:val="18"/>
              </w:rPr>
              <w:t>31.016</w:t>
            </w:r>
          </w:p>
        </w:tc>
        <w:tc>
          <w:tcPr>
            <w:tcW w:w="992" w:type="dxa"/>
            <w:shd w:val="clear" w:color="auto" w:fill="BEBEBE"/>
            <w:vAlign w:val="center"/>
          </w:tcPr>
          <w:p w:rsidR="003073A4" w:rsidRDefault="000545DD">
            <w:pPr>
              <w:widowControl/>
              <w:jc w:val="center"/>
              <w:rPr>
                <w:sz w:val="18"/>
                <w:szCs w:val="18"/>
              </w:rPr>
            </w:pPr>
            <w:r>
              <w:rPr>
                <w:sz w:val="18"/>
                <w:szCs w:val="18"/>
              </w:rPr>
              <w:t>34.562</w:t>
            </w:r>
          </w:p>
        </w:tc>
        <w:tc>
          <w:tcPr>
            <w:tcW w:w="992" w:type="dxa"/>
            <w:shd w:val="clear" w:color="auto" w:fill="BEBEBE"/>
            <w:vAlign w:val="center"/>
          </w:tcPr>
          <w:p w:rsidR="003073A4" w:rsidRDefault="000545DD">
            <w:pPr>
              <w:widowControl/>
              <w:jc w:val="center"/>
              <w:rPr>
                <w:sz w:val="18"/>
                <w:szCs w:val="18"/>
              </w:rPr>
            </w:pPr>
            <w:r>
              <w:rPr>
                <w:sz w:val="18"/>
                <w:szCs w:val="18"/>
              </w:rPr>
              <w:t>11,43</w:t>
            </w:r>
          </w:p>
        </w:tc>
        <w:tc>
          <w:tcPr>
            <w:tcW w:w="1843" w:type="dxa"/>
            <w:shd w:val="clear" w:color="auto" w:fill="BEBEBE"/>
            <w:vAlign w:val="center"/>
          </w:tcPr>
          <w:p w:rsidR="003073A4" w:rsidRDefault="000545DD">
            <w:pPr>
              <w:widowControl/>
              <w:jc w:val="center"/>
              <w:rPr>
                <w:sz w:val="18"/>
                <w:szCs w:val="18"/>
              </w:rPr>
            </w:pPr>
            <w:r>
              <w:rPr>
                <w:sz w:val="18"/>
                <w:szCs w:val="18"/>
              </w:rPr>
              <w:t>34,41</w:t>
            </w:r>
          </w:p>
        </w:tc>
        <w:tc>
          <w:tcPr>
            <w:tcW w:w="1974" w:type="dxa"/>
            <w:shd w:val="clear" w:color="auto" w:fill="BEBEBE"/>
            <w:vAlign w:val="center"/>
          </w:tcPr>
          <w:p w:rsidR="003073A4" w:rsidRDefault="000545DD">
            <w:pPr>
              <w:widowControl/>
              <w:jc w:val="center"/>
              <w:rPr>
                <w:sz w:val="18"/>
                <w:szCs w:val="18"/>
              </w:rPr>
            </w:pPr>
            <w:r>
              <w:rPr>
                <w:sz w:val="18"/>
                <w:szCs w:val="18"/>
              </w:rPr>
              <w:t>33,13</w:t>
            </w:r>
          </w:p>
        </w:tc>
      </w:tr>
      <w:tr w:rsidR="003073A4">
        <w:trPr>
          <w:trHeight w:val="315"/>
        </w:trPr>
        <w:tc>
          <w:tcPr>
            <w:tcW w:w="2127" w:type="dxa"/>
            <w:shd w:val="clear" w:color="auto" w:fill="8496AF"/>
            <w:vAlign w:val="center"/>
          </w:tcPr>
          <w:p w:rsidR="003073A4" w:rsidRDefault="000545DD">
            <w:pPr>
              <w:widowControl/>
              <w:rPr>
                <w:b/>
                <w:bCs/>
                <w:sz w:val="18"/>
                <w:szCs w:val="18"/>
              </w:rPr>
            </w:pPr>
            <w:r>
              <w:rPr>
                <w:b/>
                <w:bCs/>
                <w:sz w:val="18"/>
                <w:szCs w:val="18"/>
              </w:rPr>
              <w:t>SERVIÇOS DE TERCEIROS</w:t>
            </w:r>
          </w:p>
        </w:tc>
        <w:tc>
          <w:tcPr>
            <w:tcW w:w="992" w:type="dxa"/>
            <w:shd w:val="clear" w:color="auto" w:fill="BEBEBE"/>
            <w:vAlign w:val="center"/>
          </w:tcPr>
          <w:p w:rsidR="003073A4" w:rsidRDefault="000545DD">
            <w:pPr>
              <w:widowControl/>
              <w:jc w:val="center"/>
              <w:rPr>
                <w:sz w:val="18"/>
                <w:szCs w:val="18"/>
              </w:rPr>
            </w:pPr>
            <w:r>
              <w:rPr>
                <w:sz w:val="18"/>
                <w:szCs w:val="18"/>
              </w:rPr>
              <w:t>30.825</w:t>
            </w:r>
          </w:p>
        </w:tc>
        <w:tc>
          <w:tcPr>
            <w:tcW w:w="992" w:type="dxa"/>
            <w:shd w:val="clear" w:color="auto" w:fill="BEBEBE"/>
            <w:vAlign w:val="center"/>
          </w:tcPr>
          <w:p w:rsidR="003073A4" w:rsidRDefault="000545DD">
            <w:pPr>
              <w:widowControl/>
              <w:jc w:val="center"/>
              <w:rPr>
                <w:sz w:val="18"/>
                <w:szCs w:val="18"/>
              </w:rPr>
            </w:pPr>
            <w:r>
              <w:rPr>
                <w:sz w:val="18"/>
                <w:szCs w:val="18"/>
              </w:rPr>
              <w:t>34.025</w:t>
            </w:r>
          </w:p>
        </w:tc>
        <w:tc>
          <w:tcPr>
            <w:tcW w:w="992" w:type="dxa"/>
            <w:shd w:val="clear" w:color="auto" w:fill="BEBEBE"/>
            <w:vAlign w:val="center"/>
          </w:tcPr>
          <w:p w:rsidR="003073A4" w:rsidRDefault="000545DD">
            <w:pPr>
              <w:widowControl/>
              <w:jc w:val="center"/>
              <w:rPr>
                <w:sz w:val="18"/>
                <w:szCs w:val="18"/>
              </w:rPr>
            </w:pPr>
            <w:r>
              <w:rPr>
                <w:sz w:val="18"/>
                <w:szCs w:val="18"/>
              </w:rPr>
              <w:t>10,38</w:t>
            </w:r>
          </w:p>
        </w:tc>
        <w:tc>
          <w:tcPr>
            <w:tcW w:w="1843" w:type="dxa"/>
            <w:shd w:val="clear" w:color="auto" w:fill="BEBEBE"/>
            <w:vAlign w:val="center"/>
          </w:tcPr>
          <w:p w:rsidR="003073A4" w:rsidRDefault="000545DD">
            <w:pPr>
              <w:widowControl/>
              <w:jc w:val="center"/>
              <w:rPr>
                <w:sz w:val="18"/>
                <w:szCs w:val="18"/>
              </w:rPr>
            </w:pPr>
            <w:r>
              <w:rPr>
                <w:sz w:val="18"/>
                <w:szCs w:val="18"/>
              </w:rPr>
              <w:t>33,87</w:t>
            </w:r>
          </w:p>
        </w:tc>
        <w:tc>
          <w:tcPr>
            <w:tcW w:w="1974" w:type="dxa"/>
            <w:shd w:val="clear" w:color="auto" w:fill="BEBEBE"/>
            <w:vAlign w:val="center"/>
          </w:tcPr>
          <w:p w:rsidR="003073A4" w:rsidRDefault="000545DD">
            <w:pPr>
              <w:widowControl/>
              <w:jc w:val="center"/>
              <w:rPr>
                <w:sz w:val="18"/>
                <w:szCs w:val="18"/>
              </w:rPr>
            </w:pPr>
            <w:r>
              <w:rPr>
                <w:sz w:val="18"/>
                <w:szCs w:val="18"/>
              </w:rPr>
              <w:t>32,62</w:t>
            </w:r>
          </w:p>
        </w:tc>
      </w:tr>
      <w:tr w:rsidR="003073A4">
        <w:trPr>
          <w:trHeight w:val="315"/>
        </w:trPr>
        <w:tc>
          <w:tcPr>
            <w:tcW w:w="2127" w:type="dxa"/>
            <w:shd w:val="clear" w:color="auto" w:fill="8496AF"/>
            <w:vAlign w:val="center"/>
          </w:tcPr>
          <w:p w:rsidR="003073A4" w:rsidRDefault="000545DD">
            <w:pPr>
              <w:widowControl/>
              <w:rPr>
                <w:b/>
                <w:bCs/>
                <w:sz w:val="18"/>
                <w:szCs w:val="18"/>
              </w:rPr>
            </w:pPr>
            <w:r>
              <w:rPr>
                <w:b/>
                <w:bCs/>
                <w:sz w:val="18"/>
                <w:szCs w:val="18"/>
              </w:rPr>
              <w:t>OUTRAS DESPESAS</w:t>
            </w:r>
          </w:p>
        </w:tc>
        <w:tc>
          <w:tcPr>
            <w:tcW w:w="992" w:type="dxa"/>
            <w:shd w:val="clear" w:color="auto" w:fill="BEBEBE"/>
            <w:vAlign w:val="center"/>
          </w:tcPr>
          <w:p w:rsidR="003073A4" w:rsidRDefault="000545DD">
            <w:pPr>
              <w:widowControl/>
              <w:jc w:val="center"/>
              <w:rPr>
                <w:sz w:val="18"/>
                <w:szCs w:val="18"/>
              </w:rPr>
            </w:pPr>
            <w:r>
              <w:rPr>
                <w:sz w:val="18"/>
                <w:szCs w:val="18"/>
              </w:rPr>
              <w:t>32.580</w:t>
            </w:r>
          </w:p>
        </w:tc>
        <w:tc>
          <w:tcPr>
            <w:tcW w:w="992" w:type="dxa"/>
            <w:shd w:val="clear" w:color="auto" w:fill="BEBEBE"/>
            <w:vAlign w:val="center"/>
          </w:tcPr>
          <w:p w:rsidR="003073A4" w:rsidRDefault="000545DD">
            <w:pPr>
              <w:widowControl/>
              <w:jc w:val="center"/>
              <w:rPr>
                <w:sz w:val="18"/>
                <w:szCs w:val="18"/>
              </w:rPr>
            </w:pPr>
            <w:r>
              <w:rPr>
                <w:sz w:val="18"/>
                <w:szCs w:val="18"/>
              </w:rPr>
              <w:t>31.858</w:t>
            </w:r>
          </w:p>
        </w:tc>
        <w:tc>
          <w:tcPr>
            <w:tcW w:w="992" w:type="dxa"/>
            <w:shd w:val="clear" w:color="auto" w:fill="BEBEBE"/>
            <w:vAlign w:val="center"/>
          </w:tcPr>
          <w:p w:rsidR="003073A4" w:rsidRDefault="000545DD">
            <w:pPr>
              <w:widowControl/>
              <w:jc w:val="center"/>
              <w:rPr>
                <w:sz w:val="18"/>
                <w:szCs w:val="18"/>
              </w:rPr>
            </w:pPr>
            <w:r>
              <w:rPr>
                <w:sz w:val="18"/>
                <w:szCs w:val="18"/>
              </w:rPr>
              <w:t>-2,22</w:t>
            </w:r>
          </w:p>
        </w:tc>
        <w:tc>
          <w:tcPr>
            <w:tcW w:w="1843" w:type="dxa"/>
            <w:shd w:val="clear" w:color="auto" w:fill="BEBEBE"/>
            <w:vAlign w:val="center"/>
          </w:tcPr>
          <w:p w:rsidR="003073A4" w:rsidRDefault="000545DD">
            <w:pPr>
              <w:widowControl/>
              <w:jc w:val="center"/>
              <w:rPr>
                <w:sz w:val="18"/>
                <w:szCs w:val="18"/>
              </w:rPr>
            </w:pPr>
            <w:r>
              <w:rPr>
                <w:sz w:val="18"/>
                <w:szCs w:val="18"/>
              </w:rPr>
              <w:t>31,72</w:t>
            </w:r>
          </w:p>
        </w:tc>
        <w:tc>
          <w:tcPr>
            <w:tcW w:w="1974" w:type="dxa"/>
            <w:shd w:val="clear" w:color="auto" w:fill="BEBEBE"/>
            <w:vAlign w:val="center"/>
          </w:tcPr>
          <w:p w:rsidR="003073A4" w:rsidRDefault="000545DD">
            <w:pPr>
              <w:widowControl/>
              <w:jc w:val="center"/>
              <w:rPr>
                <w:sz w:val="18"/>
                <w:szCs w:val="18"/>
              </w:rPr>
            </w:pPr>
            <w:r>
              <w:rPr>
                <w:sz w:val="18"/>
                <w:szCs w:val="18"/>
              </w:rPr>
              <w:t>30,54</w:t>
            </w:r>
          </w:p>
        </w:tc>
      </w:tr>
      <w:tr w:rsidR="003073A4">
        <w:trPr>
          <w:trHeight w:val="315"/>
        </w:trPr>
        <w:tc>
          <w:tcPr>
            <w:tcW w:w="2127" w:type="dxa"/>
            <w:shd w:val="clear" w:color="auto" w:fill="203764"/>
            <w:vAlign w:val="center"/>
          </w:tcPr>
          <w:p w:rsidR="003073A4" w:rsidRDefault="000545DD">
            <w:pPr>
              <w:widowControl/>
              <w:jc w:val="center"/>
              <w:rPr>
                <w:b/>
                <w:bCs/>
                <w:color w:val="FF0000"/>
                <w:sz w:val="18"/>
                <w:szCs w:val="18"/>
              </w:rPr>
            </w:pPr>
            <w:r>
              <w:rPr>
                <w:b/>
                <w:bCs/>
                <w:color w:val="FFFFFF"/>
                <w:sz w:val="18"/>
                <w:szCs w:val="18"/>
              </w:rPr>
              <w:t>DESPESA TOTAL</w:t>
            </w:r>
          </w:p>
        </w:tc>
        <w:tc>
          <w:tcPr>
            <w:tcW w:w="992" w:type="dxa"/>
            <w:shd w:val="clear" w:color="auto" w:fill="203764"/>
            <w:vAlign w:val="center"/>
          </w:tcPr>
          <w:p w:rsidR="003073A4" w:rsidRDefault="000545DD">
            <w:pPr>
              <w:widowControl/>
              <w:jc w:val="center"/>
              <w:rPr>
                <w:b/>
                <w:bCs/>
                <w:color w:val="FF0000"/>
                <w:sz w:val="18"/>
                <w:szCs w:val="18"/>
              </w:rPr>
            </w:pPr>
            <w:r>
              <w:rPr>
                <w:b/>
                <w:bCs/>
                <w:color w:val="FFFFFF"/>
                <w:sz w:val="18"/>
                <w:szCs w:val="18"/>
              </w:rPr>
              <w:t>94.421</w:t>
            </w:r>
          </w:p>
        </w:tc>
        <w:tc>
          <w:tcPr>
            <w:tcW w:w="992" w:type="dxa"/>
            <w:shd w:val="clear" w:color="auto" w:fill="203764"/>
            <w:vAlign w:val="center"/>
          </w:tcPr>
          <w:p w:rsidR="003073A4" w:rsidRDefault="000545DD">
            <w:pPr>
              <w:widowControl/>
              <w:jc w:val="center"/>
              <w:rPr>
                <w:b/>
                <w:bCs/>
                <w:color w:val="FF0000"/>
                <w:sz w:val="18"/>
                <w:szCs w:val="18"/>
              </w:rPr>
            </w:pPr>
            <w:r>
              <w:rPr>
                <w:b/>
                <w:bCs/>
                <w:color w:val="FFFFFF"/>
                <w:sz w:val="18"/>
                <w:szCs w:val="18"/>
              </w:rPr>
              <w:t>100.445</w:t>
            </w:r>
          </w:p>
        </w:tc>
        <w:tc>
          <w:tcPr>
            <w:tcW w:w="992" w:type="dxa"/>
            <w:shd w:val="clear" w:color="auto" w:fill="203764"/>
            <w:vAlign w:val="center"/>
          </w:tcPr>
          <w:p w:rsidR="003073A4" w:rsidRDefault="000545DD">
            <w:pPr>
              <w:widowControl/>
              <w:jc w:val="center"/>
              <w:rPr>
                <w:b/>
                <w:bCs/>
                <w:color w:val="FF0000"/>
                <w:sz w:val="18"/>
                <w:szCs w:val="18"/>
              </w:rPr>
            </w:pPr>
            <w:r>
              <w:rPr>
                <w:b/>
                <w:bCs/>
                <w:color w:val="FFFFFF"/>
                <w:sz w:val="18"/>
                <w:szCs w:val="18"/>
              </w:rPr>
              <w:t>6,38</w:t>
            </w:r>
          </w:p>
        </w:tc>
        <w:tc>
          <w:tcPr>
            <w:tcW w:w="1843" w:type="dxa"/>
            <w:shd w:val="clear" w:color="auto" w:fill="203764"/>
            <w:vAlign w:val="center"/>
          </w:tcPr>
          <w:p w:rsidR="003073A4" w:rsidRDefault="000545DD">
            <w:pPr>
              <w:widowControl/>
              <w:jc w:val="center"/>
              <w:rPr>
                <w:b/>
                <w:bCs/>
                <w:color w:val="FF0000"/>
                <w:sz w:val="18"/>
                <w:szCs w:val="18"/>
              </w:rPr>
            </w:pPr>
            <w:r>
              <w:rPr>
                <w:b/>
                <w:bCs/>
                <w:color w:val="FFFFFF"/>
                <w:sz w:val="18"/>
                <w:szCs w:val="18"/>
              </w:rPr>
              <w:t>100</w:t>
            </w:r>
          </w:p>
        </w:tc>
        <w:tc>
          <w:tcPr>
            <w:tcW w:w="1974" w:type="dxa"/>
            <w:shd w:val="clear" w:color="auto" w:fill="203764"/>
            <w:vAlign w:val="center"/>
          </w:tcPr>
          <w:p w:rsidR="003073A4" w:rsidRDefault="000545DD">
            <w:pPr>
              <w:widowControl/>
              <w:jc w:val="center"/>
              <w:rPr>
                <w:b/>
                <w:bCs/>
                <w:color w:val="FF0000"/>
                <w:sz w:val="18"/>
                <w:szCs w:val="18"/>
              </w:rPr>
            </w:pPr>
            <w:r>
              <w:rPr>
                <w:b/>
                <w:bCs/>
                <w:color w:val="FFFFFF"/>
                <w:sz w:val="18"/>
                <w:szCs w:val="18"/>
              </w:rPr>
              <w:t>96,29 </w:t>
            </w:r>
          </w:p>
        </w:tc>
      </w:tr>
    </w:tbl>
    <w:p w:rsidR="003073A4" w:rsidRDefault="000545DD">
      <w:pPr>
        <w:spacing w:before="120" w:after="240"/>
        <w:ind w:left="221" w:hanging="221"/>
        <w:rPr>
          <w:color w:val="000000"/>
          <w:sz w:val="18"/>
          <w:szCs w:val="18"/>
        </w:rPr>
      </w:pPr>
      <w:r>
        <w:rPr>
          <w:color w:val="000000"/>
          <w:sz w:val="18"/>
          <w:szCs w:val="18"/>
        </w:rPr>
        <w:t xml:space="preserve"> Fonte: CODFIN - Coordenadoria Finan</w:t>
      </w:r>
      <w:r w:rsidR="001C1513">
        <w:rPr>
          <w:color w:val="000000"/>
          <w:sz w:val="18"/>
          <w:szCs w:val="18"/>
        </w:rPr>
        <w:t>ceira</w:t>
      </w:r>
      <w:r>
        <w:rPr>
          <w:color w:val="000000"/>
          <w:sz w:val="18"/>
          <w:szCs w:val="18"/>
        </w:rPr>
        <w:t xml:space="preserve"> (2026)</w:t>
      </w:r>
    </w:p>
    <w:p w:rsidR="003073A4" w:rsidRDefault="000545DD">
      <w:pPr>
        <w:spacing w:after="120" w:line="360" w:lineRule="auto"/>
        <w:jc w:val="both"/>
        <w:rPr>
          <w:color w:val="000000"/>
        </w:rPr>
      </w:pPr>
      <w:r>
        <w:rPr>
          <w:color w:val="000000"/>
        </w:rPr>
        <w:t xml:space="preserve">Outro importante indicador financeiro é o Balanço Patrimonial da CDC, o qual teve uma variação expressiva de 3721,18% no Intangível. Essa variação deve-se a aquisição de um software de VMS para administrar todas as imagens proveniente do CFTV, garantindo uma maior segurança e assim, atendendo os requisitos dos órgãos intervenientes que operam na CDC. Impactando o ativo circulante da Companhia, no exercício de 2025.  </w:t>
      </w:r>
    </w:p>
    <w:p w:rsidR="003073A4" w:rsidRDefault="003073A4">
      <w:pPr>
        <w:pBdr>
          <w:top w:val="nil"/>
          <w:left w:val="nil"/>
          <w:bottom w:val="nil"/>
          <w:right w:val="nil"/>
          <w:between w:val="nil"/>
        </w:pBdr>
        <w:spacing w:before="120" w:after="120" w:line="360" w:lineRule="auto"/>
        <w:ind w:right="195"/>
        <w:jc w:val="both"/>
        <w:rPr>
          <w:i/>
          <w:iCs/>
          <w:color w:val="FF0000"/>
          <w:sz w:val="4"/>
          <w:szCs w:val="4"/>
        </w:rPr>
      </w:pPr>
    </w:p>
    <w:p w:rsidR="003073A4" w:rsidRDefault="000545DD">
      <w:pPr>
        <w:pBdr>
          <w:top w:val="nil"/>
          <w:left w:val="nil"/>
          <w:bottom w:val="nil"/>
          <w:right w:val="nil"/>
          <w:between w:val="nil"/>
        </w:pBdr>
        <w:spacing w:before="120" w:after="120" w:line="360" w:lineRule="auto"/>
        <w:ind w:right="195"/>
        <w:jc w:val="both"/>
        <w:rPr>
          <w:i/>
          <w:iCs/>
          <w:color w:val="000000"/>
          <w:sz w:val="18"/>
          <w:szCs w:val="18"/>
        </w:rPr>
      </w:pPr>
      <w:r>
        <w:rPr>
          <w:color w:val="000000"/>
          <w:sz w:val="18"/>
          <w:szCs w:val="18"/>
        </w:rPr>
        <w:t>Tabela 15 - Balanço Patrimonial Resumido 2025 X 2024</w:t>
      </w:r>
    </w:p>
    <w:tbl>
      <w:tblPr>
        <w:tblStyle w:val="af1"/>
        <w:tblW w:w="8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1"/>
        <w:gridCol w:w="1572"/>
        <w:gridCol w:w="1572"/>
        <w:gridCol w:w="1054"/>
      </w:tblGrid>
      <w:tr w:rsidR="003073A4">
        <w:trPr>
          <w:trHeight w:val="268"/>
        </w:trPr>
        <w:tc>
          <w:tcPr>
            <w:tcW w:w="8920" w:type="dxa"/>
            <w:gridSpan w:val="4"/>
            <w:shd w:val="clear" w:color="auto" w:fill="203764"/>
            <w:vAlign w:val="center"/>
          </w:tcPr>
          <w:p w:rsidR="003073A4" w:rsidRDefault="000545DD">
            <w:pPr>
              <w:widowControl/>
              <w:jc w:val="center"/>
              <w:rPr>
                <w:b/>
                <w:bCs/>
                <w:color w:val="FF0000"/>
                <w:sz w:val="18"/>
                <w:szCs w:val="18"/>
              </w:rPr>
            </w:pPr>
            <w:r>
              <w:rPr>
                <w:b/>
                <w:bCs/>
                <w:color w:val="FFFFFF"/>
                <w:sz w:val="18"/>
                <w:szCs w:val="18"/>
              </w:rPr>
              <w:t>BALANÇO PATRIMONIAL (RESUMIDO) - VALORES EM R$ MIL</w:t>
            </w:r>
          </w:p>
        </w:tc>
      </w:tr>
      <w:tr w:rsidR="003073A4">
        <w:trPr>
          <w:trHeight w:val="259"/>
        </w:trPr>
        <w:tc>
          <w:tcPr>
            <w:tcW w:w="4722" w:type="dxa"/>
            <w:shd w:val="clear" w:color="auto" w:fill="203764"/>
            <w:vAlign w:val="center"/>
          </w:tcPr>
          <w:p w:rsidR="003073A4" w:rsidRDefault="000545DD">
            <w:pPr>
              <w:widowControl/>
              <w:jc w:val="center"/>
              <w:rPr>
                <w:b/>
                <w:bCs/>
                <w:color w:val="FFFFFF"/>
                <w:sz w:val="18"/>
                <w:szCs w:val="18"/>
              </w:rPr>
            </w:pPr>
            <w:r>
              <w:rPr>
                <w:b/>
                <w:bCs/>
                <w:color w:val="FFFFFF"/>
                <w:sz w:val="18"/>
                <w:szCs w:val="18"/>
              </w:rPr>
              <w:t>DESCRIÇÃO</w:t>
            </w:r>
          </w:p>
        </w:tc>
        <w:tc>
          <w:tcPr>
            <w:tcW w:w="1572"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2024</w:t>
            </w:r>
          </w:p>
        </w:tc>
        <w:tc>
          <w:tcPr>
            <w:tcW w:w="1572" w:type="dxa"/>
            <w:shd w:val="clear" w:color="auto" w:fill="203764"/>
            <w:vAlign w:val="center"/>
          </w:tcPr>
          <w:p w:rsidR="003073A4" w:rsidRDefault="000545DD">
            <w:pPr>
              <w:widowControl/>
              <w:jc w:val="center"/>
              <w:rPr>
                <w:b/>
                <w:bCs/>
                <w:color w:val="FFFFFF"/>
                <w:sz w:val="18"/>
                <w:szCs w:val="18"/>
              </w:rPr>
            </w:pPr>
            <w:r>
              <w:rPr>
                <w:b/>
                <w:bCs/>
                <w:color w:val="FFFFFF"/>
                <w:sz w:val="18"/>
                <w:szCs w:val="18"/>
              </w:rPr>
              <w:t>2025</w:t>
            </w:r>
          </w:p>
        </w:tc>
        <w:tc>
          <w:tcPr>
            <w:tcW w:w="1054" w:type="dxa"/>
            <w:shd w:val="clear" w:color="auto" w:fill="203764"/>
            <w:vAlign w:val="center"/>
          </w:tcPr>
          <w:p w:rsidR="003073A4" w:rsidRDefault="000545DD">
            <w:pPr>
              <w:widowControl/>
              <w:jc w:val="center"/>
              <w:rPr>
                <w:b/>
                <w:bCs/>
                <w:color w:val="FFFFFF"/>
                <w:sz w:val="18"/>
                <w:szCs w:val="18"/>
              </w:rPr>
            </w:pPr>
            <w:r>
              <w:rPr>
                <w:b/>
                <w:bCs/>
                <w:color w:val="FFFFFF"/>
                <w:sz w:val="18"/>
                <w:szCs w:val="18"/>
              </w:rPr>
              <w:t xml:space="preserve">VAR. ( %) 2025/2024 </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1 - ATIVO</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459.229</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462.750</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0,77%</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1.1 - ATIVO CIRCULANTE</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70.595</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62.182</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-11,92%</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1.2 - ATIVO NÃO CIRCULANTE</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387.397</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399.331</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3,08%</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REALIZÁVEL A LONGO PRAZO</w:t>
            </w:r>
          </w:p>
        </w:tc>
        <w:tc>
          <w:tcPr>
            <w:tcW w:w="1572" w:type="dxa"/>
            <w:shd w:val="clear" w:color="auto" w:fill="BEBEBE"/>
            <w:vAlign w:val="center"/>
          </w:tcPr>
          <w:p w:rsidR="003073A4" w:rsidRDefault="000545DD">
            <w:pPr>
              <w:widowControl/>
              <w:jc w:val="center"/>
              <w:rPr>
                <w:sz w:val="18"/>
                <w:szCs w:val="18"/>
              </w:rPr>
            </w:pPr>
            <w:r>
              <w:rPr>
                <w:sz w:val="18"/>
                <w:szCs w:val="18"/>
              </w:rPr>
              <w:t>135.211</w:t>
            </w:r>
          </w:p>
        </w:tc>
        <w:tc>
          <w:tcPr>
            <w:tcW w:w="1572" w:type="dxa"/>
            <w:shd w:val="clear" w:color="auto" w:fill="BEBEBE"/>
            <w:vAlign w:val="center"/>
          </w:tcPr>
          <w:p w:rsidR="003073A4" w:rsidRDefault="000545DD">
            <w:pPr>
              <w:widowControl/>
              <w:jc w:val="center"/>
              <w:rPr>
                <w:sz w:val="18"/>
                <w:szCs w:val="18"/>
              </w:rPr>
            </w:pPr>
            <w:r>
              <w:rPr>
                <w:sz w:val="18"/>
                <w:szCs w:val="18"/>
              </w:rPr>
              <w:t>139.734</w:t>
            </w:r>
          </w:p>
        </w:tc>
        <w:tc>
          <w:tcPr>
            <w:tcW w:w="1054" w:type="dxa"/>
            <w:shd w:val="clear" w:color="auto" w:fill="BEBEBE"/>
            <w:vAlign w:val="center"/>
          </w:tcPr>
          <w:p w:rsidR="003073A4" w:rsidRDefault="000545DD">
            <w:pPr>
              <w:widowControl/>
              <w:jc w:val="center"/>
              <w:rPr>
                <w:sz w:val="18"/>
                <w:szCs w:val="18"/>
              </w:rPr>
            </w:pPr>
            <w:r>
              <w:rPr>
                <w:sz w:val="18"/>
                <w:szCs w:val="18"/>
              </w:rPr>
              <w:t>3,35%</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INVESTIMENTOS</w:t>
            </w:r>
          </w:p>
        </w:tc>
        <w:tc>
          <w:tcPr>
            <w:tcW w:w="1572" w:type="dxa"/>
            <w:shd w:val="clear" w:color="auto" w:fill="BEBEBE"/>
            <w:vAlign w:val="center"/>
          </w:tcPr>
          <w:p w:rsidR="003073A4" w:rsidRDefault="000545DD">
            <w:pPr>
              <w:widowControl/>
              <w:jc w:val="center"/>
              <w:rPr>
                <w:sz w:val="18"/>
                <w:szCs w:val="18"/>
              </w:rPr>
            </w:pPr>
            <w:r>
              <w:rPr>
                <w:sz w:val="18"/>
                <w:szCs w:val="18"/>
              </w:rPr>
              <w:t>4</w:t>
            </w:r>
          </w:p>
        </w:tc>
        <w:tc>
          <w:tcPr>
            <w:tcW w:w="1572" w:type="dxa"/>
            <w:shd w:val="clear" w:color="auto" w:fill="BEBEBE"/>
            <w:vAlign w:val="center"/>
          </w:tcPr>
          <w:p w:rsidR="003073A4" w:rsidRDefault="000545DD">
            <w:pPr>
              <w:widowControl/>
              <w:jc w:val="center"/>
              <w:rPr>
                <w:sz w:val="18"/>
                <w:szCs w:val="18"/>
              </w:rPr>
            </w:pPr>
            <w:r>
              <w:rPr>
                <w:sz w:val="18"/>
                <w:szCs w:val="18"/>
              </w:rPr>
              <w:t>24</w:t>
            </w:r>
          </w:p>
        </w:tc>
        <w:tc>
          <w:tcPr>
            <w:tcW w:w="1054" w:type="dxa"/>
            <w:shd w:val="clear" w:color="auto" w:fill="BEBEBE"/>
            <w:vAlign w:val="center"/>
          </w:tcPr>
          <w:p w:rsidR="003073A4" w:rsidRDefault="000545DD">
            <w:pPr>
              <w:widowControl/>
              <w:jc w:val="center"/>
              <w:rPr>
                <w:sz w:val="18"/>
                <w:szCs w:val="18"/>
              </w:rPr>
            </w:pPr>
            <w:r>
              <w:rPr>
                <w:sz w:val="18"/>
                <w:szCs w:val="18"/>
              </w:rPr>
              <w:t>500%</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IMOBILIZADO</w:t>
            </w:r>
          </w:p>
        </w:tc>
        <w:tc>
          <w:tcPr>
            <w:tcW w:w="1572" w:type="dxa"/>
            <w:shd w:val="clear" w:color="auto" w:fill="BEBEBE"/>
            <w:vAlign w:val="center"/>
          </w:tcPr>
          <w:p w:rsidR="003073A4" w:rsidRDefault="000545DD">
            <w:pPr>
              <w:widowControl/>
              <w:jc w:val="center"/>
              <w:rPr>
                <w:sz w:val="18"/>
                <w:szCs w:val="18"/>
              </w:rPr>
            </w:pPr>
            <w:r>
              <w:rPr>
                <w:sz w:val="18"/>
                <w:szCs w:val="18"/>
              </w:rPr>
              <w:t>252.012</w:t>
            </w:r>
          </w:p>
        </w:tc>
        <w:tc>
          <w:tcPr>
            <w:tcW w:w="1572" w:type="dxa"/>
            <w:shd w:val="clear" w:color="auto" w:fill="BEBEBE"/>
            <w:vAlign w:val="center"/>
          </w:tcPr>
          <w:p w:rsidR="003073A4" w:rsidRDefault="000545DD">
            <w:pPr>
              <w:widowControl/>
              <w:jc w:val="center"/>
              <w:rPr>
                <w:sz w:val="18"/>
                <w:szCs w:val="18"/>
              </w:rPr>
            </w:pPr>
            <w:r>
              <w:rPr>
                <w:sz w:val="18"/>
                <w:szCs w:val="18"/>
              </w:rPr>
              <w:t>253.077</w:t>
            </w:r>
          </w:p>
        </w:tc>
        <w:tc>
          <w:tcPr>
            <w:tcW w:w="1054" w:type="dxa"/>
            <w:shd w:val="clear" w:color="auto" w:fill="BEBEBE"/>
            <w:vAlign w:val="center"/>
          </w:tcPr>
          <w:p w:rsidR="003073A4" w:rsidRDefault="000545DD">
            <w:pPr>
              <w:widowControl/>
              <w:jc w:val="center"/>
              <w:rPr>
                <w:sz w:val="18"/>
                <w:szCs w:val="18"/>
              </w:rPr>
            </w:pPr>
            <w:r>
              <w:rPr>
                <w:sz w:val="18"/>
                <w:szCs w:val="18"/>
              </w:rPr>
              <w:t>0,42%</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INTANGÍVEL</w:t>
            </w:r>
          </w:p>
        </w:tc>
        <w:tc>
          <w:tcPr>
            <w:tcW w:w="1572" w:type="dxa"/>
            <w:shd w:val="clear" w:color="auto" w:fill="BEBEBE"/>
            <w:vAlign w:val="center"/>
          </w:tcPr>
          <w:p w:rsidR="003073A4" w:rsidRDefault="000545DD">
            <w:pPr>
              <w:widowControl/>
              <w:jc w:val="center"/>
              <w:rPr>
                <w:sz w:val="18"/>
                <w:szCs w:val="18"/>
              </w:rPr>
            </w:pPr>
            <w:r>
              <w:rPr>
                <w:sz w:val="18"/>
                <w:szCs w:val="18"/>
              </w:rPr>
              <w:t>170</w:t>
            </w:r>
          </w:p>
        </w:tc>
        <w:tc>
          <w:tcPr>
            <w:tcW w:w="1572" w:type="dxa"/>
            <w:shd w:val="clear" w:color="auto" w:fill="BEBEBE"/>
            <w:vAlign w:val="center"/>
          </w:tcPr>
          <w:p w:rsidR="003073A4" w:rsidRDefault="000545DD">
            <w:pPr>
              <w:widowControl/>
              <w:jc w:val="center"/>
              <w:rPr>
                <w:sz w:val="18"/>
                <w:szCs w:val="18"/>
              </w:rPr>
            </w:pPr>
            <w:r>
              <w:rPr>
                <w:sz w:val="18"/>
                <w:szCs w:val="18"/>
              </w:rPr>
              <w:t>6.496</w:t>
            </w:r>
          </w:p>
        </w:tc>
        <w:tc>
          <w:tcPr>
            <w:tcW w:w="1054" w:type="dxa"/>
            <w:shd w:val="clear" w:color="auto" w:fill="BEBEBE"/>
            <w:vAlign w:val="center"/>
          </w:tcPr>
          <w:p w:rsidR="003073A4" w:rsidRDefault="000545DD">
            <w:pPr>
              <w:widowControl/>
              <w:jc w:val="center"/>
              <w:rPr>
                <w:sz w:val="18"/>
                <w:szCs w:val="18"/>
              </w:rPr>
            </w:pPr>
            <w:r>
              <w:rPr>
                <w:sz w:val="18"/>
                <w:szCs w:val="18"/>
              </w:rPr>
              <w:t>3.721,18%</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1.3 - ATIVO COMPENSADO</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1.237</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1.237</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0%</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2 - PASSIVO</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459.229</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462.750</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0,77%</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2.1 - PASSIVO CIRCULANTE</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23.483</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23.089</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-1,68%</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FORNECEDORES</w:t>
            </w:r>
          </w:p>
        </w:tc>
        <w:tc>
          <w:tcPr>
            <w:tcW w:w="1572" w:type="dxa"/>
            <w:shd w:val="clear" w:color="auto" w:fill="BEBEBE"/>
            <w:vAlign w:val="center"/>
          </w:tcPr>
          <w:p w:rsidR="003073A4" w:rsidRDefault="000545DD">
            <w:pPr>
              <w:widowControl/>
              <w:jc w:val="center"/>
              <w:rPr>
                <w:sz w:val="18"/>
                <w:szCs w:val="18"/>
              </w:rPr>
            </w:pPr>
            <w:r>
              <w:rPr>
                <w:sz w:val="18"/>
                <w:szCs w:val="18"/>
              </w:rPr>
              <w:t>2.477</w:t>
            </w:r>
          </w:p>
        </w:tc>
        <w:tc>
          <w:tcPr>
            <w:tcW w:w="1572" w:type="dxa"/>
            <w:shd w:val="clear" w:color="auto" w:fill="BEBEBE"/>
            <w:vAlign w:val="center"/>
          </w:tcPr>
          <w:p w:rsidR="003073A4" w:rsidRDefault="000545DD">
            <w:pPr>
              <w:widowControl/>
              <w:jc w:val="center"/>
              <w:rPr>
                <w:sz w:val="18"/>
                <w:szCs w:val="18"/>
              </w:rPr>
            </w:pPr>
            <w:r>
              <w:rPr>
                <w:sz w:val="18"/>
                <w:szCs w:val="18"/>
              </w:rPr>
              <w:t>5.370</w:t>
            </w:r>
          </w:p>
        </w:tc>
        <w:tc>
          <w:tcPr>
            <w:tcW w:w="1054" w:type="dxa"/>
            <w:shd w:val="clear" w:color="auto" w:fill="BEBEBE"/>
            <w:vAlign w:val="center"/>
          </w:tcPr>
          <w:p w:rsidR="003073A4" w:rsidRDefault="000545DD">
            <w:pPr>
              <w:widowControl/>
              <w:jc w:val="center"/>
              <w:rPr>
                <w:sz w:val="18"/>
                <w:szCs w:val="18"/>
              </w:rPr>
            </w:pPr>
            <w:r>
              <w:rPr>
                <w:sz w:val="18"/>
                <w:szCs w:val="18"/>
              </w:rPr>
              <w:t>116,79%</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OBRIGAÇÕES TRABALHISTAS</w:t>
            </w:r>
          </w:p>
        </w:tc>
        <w:tc>
          <w:tcPr>
            <w:tcW w:w="1572" w:type="dxa"/>
            <w:shd w:val="clear" w:color="auto" w:fill="BEBEBE"/>
            <w:vAlign w:val="center"/>
          </w:tcPr>
          <w:p w:rsidR="003073A4" w:rsidRDefault="000545DD">
            <w:pPr>
              <w:widowControl/>
              <w:jc w:val="center"/>
              <w:rPr>
                <w:sz w:val="18"/>
                <w:szCs w:val="18"/>
              </w:rPr>
            </w:pPr>
            <w:r>
              <w:rPr>
                <w:sz w:val="18"/>
                <w:szCs w:val="18"/>
              </w:rPr>
              <w:t>3.271</w:t>
            </w:r>
          </w:p>
        </w:tc>
        <w:tc>
          <w:tcPr>
            <w:tcW w:w="1572" w:type="dxa"/>
            <w:shd w:val="clear" w:color="auto" w:fill="BEBEBE"/>
            <w:vAlign w:val="center"/>
          </w:tcPr>
          <w:p w:rsidR="003073A4" w:rsidRDefault="000545DD">
            <w:pPr>
              <w:widowControl/>
              <w:jc w:val="center"/>
              <w:rPr>
                <w:sz w:val="18"/>
                <w:szCs w:val="18"/>
              </w:rPr>
            </w:pPr>
            <w:r>
              <w:rPr>
                <w:sz w:val="18"/>
                <w:szCs w:val="18"/>
              </w:rPr>
              <w:t>3.040</w:t>
            </w:r>
          </w:p>
        </w:tc>
        <w:tc>
          <w:tcPr>
            <w:tcW w:w="1054" w:type="dxa"/>
            <w:shd w:val="clear" w:color="auto" w:fill="BEBEBE"/>
            <w:vAlign w:val="center"/>
          </w:tcPr>
          <w:p w:rsidR="003073A4" w:rsidRDefault="000545DD">
            <w:pPr>
              <w:widowControl/>
              <w:jc w:val="center"/>
              <w:rPr>
                <w:sz w:val="18"/>
                <w:szCs w:val="18"/>
              </w:rPr>
            </w:pPr>
            <w:r>
              <w:rPr>
                <w:sz w:val="18"/>
                <w:szCs w:val="18"/>
              </w:rPr>
              <w:t>-7,06%</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OBRIGAÇÕES FISCAIS/PREVIDENCIÁRIAS</w:t>
            </w:r>
          </w:p>
        </w:tc>
        <w:tc>
          <w:tcPr>
            <w:tcW w:w="1572" w:type="dxa"/>
            <w:shd w:val="clear" w:color="auto" w:fill="BEBEBE"/>
            <w:vAlign w:val="center"/>
          </w:tcPr>
          <w:p w:rsidR="003073A4" w:rsidRDefault="000545DD">
            <w:pPr>
              <w:widowControl/>
              <w:jc w:val="center"/>
              <w:rPr>
                <w:sz w:val="18"/>
                <w:szCs w:val="18"/>
              </w:rPr>
            </w:pPr>
            <w:r>
              <w:rPr>
                <w:sz w:val="18"/>
                <w:szCs w:val="18"/>
              </w:rPr>
              <w:t>2.022</w:t>
            </w:r>
          </w:p>
        </w:tc>
        <w:tc>
          <w:tcPr>
            <w:tcW w:w="1572" w:type="dxa"/>
            <w:shd w:val="clear" w:color="auto" w:fill="BEBEBE"/>
            <w:vAlign w:val="center"/>
          </w:tcPr>
          <w:p w:rsidR="003073A4" w:rsidRDefault="000545DD">
            <w:pPr>
              <w:widowControl/>
              <w:jc w:val="center"/>
              <w:rPr>
                <w:sz w:val="18"/>
                <w:szCs w:val="18"/>
              </w:rPr>
            </w:pPr>
            <w:r>
              <w:rPr>
                <w:sz w:val="18"/>
                <w:szCs w:val="18"/>
              </w:rPr>
              <w:t>2.539</w:t>
            </w:r>
          </w:p>
        </w:tc>
        <w:tc>
          <w:tcPr>
            <w:tcW w:w="1054" w:type="dxa"/>
            <w:shd w:val="clear" w:color="auto" w:fill="BEBEBE"/>
            <w:vAlign w:val="center"/>
          </w:tcPr>
          <w:p w:rsidR="003073A4" w:rsidRDefault="000545DD">
            <w:pPr>
              <w:widowControl/>
              <w:jc w:val="center"/>
              <w:rPr>
                <w:sz w:val="18"/>
                <w:szCs w:val="18"/>
              </w:rPr>
            </w:pPr>
            <w:r>
              <w:rPr>
                <w:sz w:val="18"/>
                <w:szCs w:val="18"/>
              </w:rPr>
              <w:t>25,57%</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PORTUS - RTSA</w:t>
            </w:r>
          </w:p>
        </w:tc>
        <w:tc>
          <w:tcPr>
            <w:tcW w:w="1572" w:type="dxa"/>
            <w:shd w:val="clear" w:color="auto" w:fill="BEBEBE"/>
            <w:vAlign w:val="center"/>
          </w:tcPr>
          <w:p w:rsidR="003073A4" w:rsidRDefault="000545DD">
            <w:pPr>
              <w:widowControl/>
              <w:jc w:val="center"/>
              <w:rPr>
                <w:sz w:val="18"/>
                <w:szCs w:val="18"/>
              </w:rPr>
            </w:pPr>
            <w:r>
              <w:rPr>
                <w:sz w:val="18"/>
                <w:szCs w:val="18"/>
              </w:rPr>
              <w:t>729</w:t>
            </w:r>
          </w:p>
        </w:tc>
        <w:tc>
          <w:tcPr>
            <w:tcW w:w="1572" w:type="dxa"/>
            <w:shd w:val="clear" w:color="auto" w:fill="BEBEBE"/>
            <w:vAlign w:val="center"/>
          </w:tcPr>
          <w:p w:rsidR="003073A4" w:rsidRDefault="000545DD">
            <w:pPr>
              <w:widowControl/>
              <w:jc w:val="center"/>
              <w:rPr>
                <w:sz w:val="18"/>
                <w:szCs w:val="18"/>
              </w:rPr>
            </w:pPr>
            <w:r>
              <w:rPr>
                <w:sz w:val="18"/>
                <w:szCs w:val="18"/>
              </w:rPr>
              <w:t>561</w:t>
            </w:r>
          </w:p>
        </w:tc>
        <w:tc>
          <w:tcPr>
            <w:tcW w:w="1054" w:type="dxa"/>
            <w:shd w:val="clear" w:color="auto" w:fill="BEBEBE"/>
            <w:vAlign w:val="center"/>
          </w:tcPr>
          <w:p w:rsidR="003073A4" w:rsidRDefault="000545DD">
            <w:pPr>
              <w:widowControl/>
              <w:jc w:val="center"/>
              <w:rPr>
                <w:sz w:val="18"/>
                <w:szCs w:val="18"/>
              </w:rPr>
            </w:pPr>
            <w:r>
              <w:rPr>
                <w:sz w:val="18"/>
                <w:szCs w:val="18"/>
              </w:rPr>
              <w:t>-23,05%</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PORTUS – Termo de Compromisso Financeiro</w:t>
            </w:r>
          </w:p>
        </w:tc>
        <w:tc>
          <w:tcPr>
            <w:tcW w:w="1572" w:type="dxa"/>
            <w:shd w:val="clear" w:color="auto" w:fill="BEBEBE"/>
            <w:vAlign w:val="center"/>
          </w:tcPr>
          <w:p w:rsidR="003073A4" w:rsidRDefault="000545DD">
            <w:pPr>
              <w:widowControl/>
              <w:jc w:val="center"/>
              <w:rPr>
                <w:sz w:val="18"/>
                <w:szCs w:val="18"/>
              </w:rPr>
            </w:pPr>
            <w:r>
              <w:rPr>
                <w:sz w:val="18"/>
                <w:szCs w:val="18"/>
              </w:rPr>
              <w:t>2.009</w:t>
            </w:r>
          </w:p>
        </w:tc>
        <w:tc>
          <w:tcPr>
            <w:tcW w:w="1572" w:type="dxa"/>
            <w:shd w:val="clear" w:color="auto" w:fill="BEBEBE"/>
            <w:vAlign w:val="center"/>
          </w:tcPr>
          <w:p w:rsidR="003073A4" w:rsidRDefault="000545DD">
            <w:pPr>
              <w:widowControl/>
              <w:jc w:val="center"/>
              <w:rPr>
                <w:sz w:val="18"/>
                <w:szCs w:val="18"/>
              </w:rPr>
            </w:pPr>
            <w:r>
              <w:rPr>
                <w:sz w:val="18"/>
                <w:szCs w:val="18"/>
              </w:rPr>
              <w:t>2.751</w:t>
            </w:r>
          </w:p>
        </w:tc>
        <w:tc>
          <w:tcPr>
            <w:tcW w:w="1054" w:type="dxa"/>
            <w:shd w:val="clear" w:color="auto" w:fill="BEBEBE"/>
            <w:vAlign w:val="center"/>
          </w:tcPr>
          <w:p w:rsidR="003073A4" w:rsidRDefault="000545DD">
            <w:pPr>
              <w:widowControl/>
              <w:jc w:val="center"/>
              <w:rPr>
                <w:sz w:val="18"/>
                <w:szCs w:val="18"/>
              </w:rPr>
            </w:pPr>
            <w:r>
              <w:rPr>
                <w:sz w:val="18"/>
                <w:szCs w:val="18"/>
              </w:rPr>
              <w:t>36,93%</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PROVISÕES</w:t>
            </w:r>
          </w:p>
        </w:tc>
        <w:tc>
          <w:tcPr>
            <w:tcW w:w="1572" w:type="dxa"/>
            <w:shd w:val="clear" w:color="auto" w:fill="BEBEBE"/>
            <w:vAlign w:val="center"/>
          </w:tcPr>
          <w:p w:rsidR="003073A4" w:rsidRDefault="000545DD">
            <w:pPr>
              <w:widowControl/>
              <w:jc w:val="center"/>
              <w:rPr>
                <w:sz w:val="18"/>
                <w:szCs w:val="18"/>
              </w:rPr>
            </w:pPr>
            <w:r>
              <w:rPr>
                <w:sz w:val="18"/>
                <w:szCs w:val="18"/>
              </w:rPr>
              <w:t>2.204</w:t>
            </w:r>
          </w:p>
        </w:tc>
        <w:tc>
          <w:tcPr>
            <w:tcW w:w="1572" w:type="dxa"/>
            <w:shd w:val="clear" w:color="auto" w:fill="BEBEBE"/>
            <w:vAlign w:val="center"/>
          </w:tcPr>
          <w:p w:rsidR="003073A4" w:rsidRDefault="000545DD">
            <w:pPr>
              <w:widowControl/>
              <w:jc w:val="center"/>
              <w:rPr>
                <w:sz w:val="18"/>
                <w:szCs w:val="18"/>
              </w:rPr>
            </w:pPr>
            <w:r>
              <w:rPr>
                <w:sz w:val="18"/>
                <w:szCs w:val="18"/>
              </w:rPr>
              <w:t>2.502</w:t>
            </w:r>
          </w:p>
        </w:tc>
        <w:tc>
          <w:tcPr>
            <w:tcW w:w="1054" w:type="dxa"/>
            <w:shd w:val="clear" w:color="auto" w:fill="BEBEBE"/>
            <w:vAlign w:val="center"/>
          </w:tcPr>
          <w:p w:rsidR="003073A4" w:rsidRDefault="000545DD">
            <w:pPr>
              <w:widowControl/>
              <w:jc w:val="center"/>
              <w:rPr>
                <w:sz w:val="18"/>
                <w:szCs w:val="18"/>
              </w:rPr>
            </w:pPr>
            <w:r>
              <w:rPr>
                <w:sz w:val="18"/>
                <w:szCs w:val="18"/>
              </w:rPr>
              <w:t>13,52%</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CREDORES DIVERSOS</w:t>
            </w:r>
          </w:p>
        </w:tc>
        <w:tc>
          <w:tcPr>
            <w:tcW w:w="1572" w:type="dxa"/>
            <w:shd w:val="clear" w:color="auto" w:fill="BEBEBE"/>
            <w:vAlign w:val="center"/>
          </w:tcPr>
          <w:p w:rsidR="003073A4" w:rsidRDefault="000545DD">
            <w:pPr>
              <w:widowControl/>
              <w:jc w:val="center"/>
              <w:rPr>
                <w:sz w:val="18"/>
                <w:szCs w:val="18"/>
              </w:rPr>
            </w:pPr>
            <w:r>
              <w:rPr>
                <w:sz w:val="18"/>
                <w:szCs w:val="18"/>
              </w:rPr>
              <w:t>5.243</w:t>
            </w:r>
          </w:p>
        </w:tc>
        <w:tc>
          <w:tcPr>
            <w:tcW w:w="1572" w:type="dxa"/>
            <w:shd w:val="clear" w:color="auto" w:fill="BEBEBE"/>
            <w:vAlign w:val="center"/>
          </w:tcPr>
          <w:p w:rsidR="003073A4" w:rsidRDefault="000545DD">
            <w:pPr>
              <w:widowControl/>
              <w:jc w:val="center"/>
              <w:rPr>
                <w:sz w:val="18"/>
                <w:szCs w:val="18"/>
              </w:rPr>
            </w:pPr>
            <w:r>
              <w:rPr>
                <w:sz w:val="18"/>
                <w:szCs w:val="18"/>
              </w:rPr>
              <w:t>4.864</w:t>
            </w:r>
          </w:p>
        </w:tc>
        <w:tc>
          <w:tcPr>
            <w:tcW w:w="1054" w:type="dxa"/>
            <w:shd w:val="clear" w:color="auto" w:fill="BEBEBE"/>
            <w:vAlign w:val="center"/>
          </w:tcPr>
          <w:p w:rsidR="003073A4" w:rsidRDefault="000545DD">
            <w:pPr>
              <w:widowControl/>
              <w:jc w:val="center"/>
              <w:rPr>
                <w:sz w:val="18"/>
                <w:szCs w:val="18"/>
              </w:rPr>
            </w:pPr>
            <w:r>
              <w:rPr>
                <w:sz w:val="18"/>
                <w:szCs w:val="18"/>
              </w:rPr>
              <w:t>-7,23%</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DIVIDENDOS A PAGAR</w:t>
            </w:r>
          </w:p>
        </w:tc>
        <w:tc>
          <w:tcPr>
            <w:tcW w:w="1572" w:type="dxa"/>
            <w:shd w:val="clear" w:color="auto" w:fill="BEBEBE"/>
            <w:vAlign w:val="center"/>
          </w:tcPr>
          <w:p w:rsidR="003073A4" w:rsidRDefault="000545DD">
            <w:pPr>
              <w:widowControl/>
              <w:jc w:val="center"/>
              <w:rPr>
                <w:sz w:val="18"/>
                <w:szCs w:val="18"/>
              </w:rPr>
            </w:pPr>
            <w:r>
              <w:rPr>
                <w:sz w:val="18"/>
                <w:szCs w:val="18"/>
              </w:rPr>
              <w:t>4.469</w:t>
            </w:r>
          </w:p>
        </w:tc>
        <w:tc>
          <w:tcPr>
            <w:tcW w:w="1572" w:type="dxa"/>
            <w:shd w:val="clear" w:color="auto" w:fill="BEBEBE"/>
            <w:vAlign w:val="center"/>
          </w:tcPr>
          <w:p w:rsidR="003073A4" w:rsidRDefault="000545DD">
            <w:pPr>
              <w:widowControl/>
              <w:jc w:val="center"/>
              <w:rPr>
                <w:sz w:val="18"/>
                <w:szCs w:val="18"/>
              </w:rPr>
            </w:pPr>
            <w:r>
              <w:rPr>
                <w:sz w:val="18"/>
                <w:szCs w:val="18"/>
              </w:rPr>
              <w:t>0</w:t>
            </w:r>
          </w:p>
        </w:tc>
        <w:tc>
          <w:tcPr>
            <w:tcW w:w="1054" w:type="dxa"/>
            <w:shd w:val="clear" w:color="auto" w:fill="BEBEBE"/>
            <w:vAlign w:val="center"/>
          </w:tcPr>
          <w:p w:rsidR="003073A4" w:rsidRDefault="000545DD">
            <w:pPr>
              <w:widowControl/>
              <w:jc w:val="center"/>
              <w:rPr>
                <w:sz w:val="18"/>
                <w:szCs w:val="18"/>
              </w:rPr>
            </w:pPr>
            <w:r>
              <w:rPr>
                <w:sz w:val="18"/>
                <w:szCs w:val="18"/>
              </w:rPr>
              <w:t>-100%</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DEPÓSITOS CONTRIBUIÇÕES E CONSIGNAÇÕES</w:t>
            </w:r>
          </w:p>
        </w:tc>
        <w:tc>
          <w:tcPr>
            <w:tcW w:w="1572" w:type="dxa"/>
            <w:shd w:val="clear" w:color="auto" w:fill="BEBEBE"/>
            <w:vAlign w:val="center"/>
          </w:tcPr>
          <w:p w:rsidR="003073A4" w:rsidRDefault="000545DD">
            <w:pPr>
              <w:widowControl/>
              <w:jc w:val="center"/>
              <w:rPr>
                <w:sz w:val="18"/>
                <w:szCs w:val="18"/>
              </w:rPr>
            </w:pPr>
            <w:r>
              <w:rPr>
                <w:sz w:val="18"/>
                <w:szCs w:val="18"/>
              </w:rPr>
              <w:t>517</w:t>
            </w:r>
          </w:p>
        </w:tc>
        <w:tc>
          <w:tcPr>
            <w:tcW w:w="1572" w:type="dxa"/>
            <w:shd w:val="clear" w:color="auto" w:fill="BEBEBE"/>
            <w:vAlign w:val="center"/>
          </w:tcPr>
          <w:p w:rsidR="003073A4" w:rsidRDefault="000545DD">
            <w:pPr>
              <w:widowControl/>
              <w:jc w:val="center"/>
              <w:rPr>
                <w:sz w:val="18"/>
                <w:szCs w:val="18"/>
              </w:rPr>
            </w:pPr>
            <w:r>
              <w:rPr>
                <w:sz w:val="18"/>
                <w:szCs w:val="18"/>
              </w:rPr>
              <w:t>581</w:t>
            </w:r>
          </w:p>
        </w:tc>
        <w:tc>
          <w:tcPr>
            <w:tcW w:w="1054" w:type="dxa"/>
            <w:shd w:val="clear" w:color="auto" w:fill="BEBEBE"/>
            <w:vAlign w:val="center"/>
          </w:tcPr>
          <w:p w:rsidR="003073A4" w:rsidRDefault="000545DD">
            <w:pPr>
              <w:widowControl/>
              <w:jc w:val="center"/>
              <w:rPr>
                <w:sz w:val="18"/>
                <w:szCs w:val="18"/>
              </w:rPr>
            </w:pPr>
            <w:r>
              <w:rPr>
                <w:sz w:val="18"/>
                <w:szCs w:val="18"/>
              </w:rPr>
              <w:t>12,38%</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lastRenderedPageBreak/>
              <w:t>CONVÊNIOS</w:t>
            </w:r>
          </w:p>
        </w:tc>
        <w:tc>
          <w:tcPr>
            <w:tcW w:w="1572" w:type="dxa"/>
            <w:shd w:val="clear" w:color="auto" w:fill="BEBEBE"/>
            <w:vAlign w:val="center"/>
          </w:tcPr>
          <w:p w:rsidR="003073A4" w:rsidRDefault="000545DD">
            <w:pPr>
              <w:widowControl/>
              <w:jc w:val="center"/>
              <w:rPr>
                <w:sz w:val="18"/>
                <w:szCs w:val="18"/>
              </w:rPr>
            </w:pPr>
            <w:r>
              <w:rPr>
                <w:sz w:val="18"/>
                <w:szCs w:val="18"/>
              </w:rPr>
              <w:t>14</w:t>
            </w:r>
          </w:p>
        </w:tc>
        <w:tc>
          <w:tcPr>
            <w:tcW w:w="1572" w:type="dxa"/>
            <w:shd w:val="clear" w:color="auto" w:fill="BEBEBE"/>
            <w:vAlign w:val="center"/>
          </w:tcPr>
          <w:p w:rsidR="003073A4" w:rsidRDefault="000545DD">
            <w:pPr>
              <w:widowControl/>
              <w:jc w:val="center"/>
              <w:rPr>
                <w:sz w:val="18"/>
                <w:szCs w:val="18"/>
              </w:rPr>
            </w:pPr>
            <w:r>
              <w:rPr>
                <w:sz w:val="18"/>
                <w:szCs w:val="18"/>
              </w:rPr>
              <w:t>14</w:t>
            </w:r>
          </w:p>
        </w:tc>
        <w:tc>
          <w:tcPr>
            <w:tcW w:w="1054" w:type="dxa"/>
            <w:shd w:val="clear" w:color="auto" w:fill="BEBEBE"/>
            <w:vAlign w:val="center"/>
          </w:tcPr>
          <w:p w:rsidR="003073A4" w:rsidRDefault="000545DD">
            <w:pPr>
              <w:widowControl/>
              <w:jc w:val="center"/>
              <w:rPr>
                <w:sz w:val="18"/>
                <w:szCs w:val="18"/>
              </w:rPr>
            </w:pPr>
            <w:r>
              <w:rPr>
                <w:sz w:val="18"/>
                <w:szCs w:val="18"/>
              </w:rPr>
              <w:t>0%</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AÇÕES JUDICIAIS</w:t>
            </w:r>
          </w:p>
        </w:tc>
        <w:tc>
          <w:tcPr>
            <w:tcW w:w="1572" w:type="dxa"/>
            <w:shd w:val="clear" w:color="auto" w:fill="BEBEBE"/>
            <w:vAlign w:val="center"/>
          </w:tcPr>
          <w:p w:rsidR="003073A4" w:rsidRDefault="000545DD">
            <w:pPr>
              <w:widowControl/>
              <w:jc w:val="center"/>
              <w:rPr>
                <w:sz w:val="18"/>
                <w:szCs w:val="18"/>
              </w:rPr>
            </w:pPr>
            <w:r>
              <w:rPr>
                <w:sz w:val="18"/>
                <w:szCs w:val="18"/>
              </w:rPr>
              <w:t>484</w:t>
            </w:r>
          </w:p>
        </w:tc>
        <w:tc>
          <w:tcPr>
            <w:tcW w:w="1572" w:type="dxa"/>
            <w:shd w:val="clear" w:color="auto" w:fill="BEBEBE"/>
            <w:vAlign w:val="center"/>
          </w:tcPr>
          <w:p w:rsidR="003073A4" w:rsidRDefault="000545DD">
            <w:pPr>
              <w:widowControl/>
              <w:jc w:val="center"/>
              <w:rPr>
                <w:sz w:val="18"/>
                <w:szCs w:val="18"/>
              </w:rPr>
            </w:pPr>
            <w:r>
              <w:rPr>
                <w:sz w:val="18"/>
                <w:szCs w:val="18"/>
              </w:rPr>
              <w:t>823</w:t>
            </w:r>
          </w:p>
        </w:tc>
        <w:tc>
          <w:tcPr>
            <w:tcW w:w="1054" w:type="dxa"/>
            <w:shd w:val="clear" w:color="auto" w:fill="BEBEBE"/>
            <w:vAlign w:val="center"/>
          </w:tcPr>
          <w:p w:rsidR="003073A4" w:rsidRDefault="000545DD">
            <w:pPr>
              <w:widowControl/>
              <w:jc w:val="center"/>
              <w:rPr>
                <w:sz w:val="18"/>
                <w:szCs w:val="18"/>
              </w:rPr>
            </w:pPr>
            <w:r>
              <w:rPr>
                <w:sz w:val="18"/>
                <w:szCs w:val="18"/>
              </w:rPr>
              <w:t>70,04%</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RECEITAS DIFERIDAS</w:t>
            </w:r>
          </w:p>
        </w:tc>
        <w:tc>
          <w:tcPr>
            <w:tcW w:w="1572" w:type="dxa"/>
            <w:shd w:val="clear" w:color="auto" w:fill="BEBEBE"/>
            <w:vAlign w:val="center"/>
          </w:tcPr>
          <w:p w:rsidR="003073A4" w:rsidRDefault="000545DD">
            <w:pPr>
              <w:widowControl/>
              <w:jc w:val="center"/>
              <w:rPr>
                <w:sz w:val="18"/>
                <w:szCs w:val="18"/>
              </w:rPr>
            </w:pPr>
            <w:r>
              <w:rPr>
                <w:sz w:val="18"/>
                <w:szCs w:val="18"/>
              </w:rPr>
              <w:t>44</w:t>
            </w:r>
          </w:p>
        </w:tc>
        <w:tc>
          <w:tcPr>
            <w:tcW w:w="1572" w:type="dxa"/>
            <w:shd w:val="clear" w:color="auto" w:fill="BEBEBE"/>
            <w:vAlign w:val="center"/>
          </w:tcPr>
          <w:p w:rsidR="003073A4" w:rsidRDefault="000545DD">
            <w:pPr>
              <w:widowControl/>
              <w:jc w:val="center"/>
              <w:rPr>
                <w:sz w:val="18"/>
                <w:szCs w:val="18"/>
              </w:rPr>
            </w:pPr>
            <w:r>
              <w:rPr>
                <w:sz w:val="18"/>
                <w:szCs w:val="18"/>
              </w:rPr>
              <w:t>44</w:t>
            </w:r>
          </w:p>
        </w:tc>
        <w:tc>
          <w:tcPr>
            <w:tcW w:w="1054" w:type="dxa"/>
            <w:shd w:val="clear" w:color="auto" w:fill="BEBEBE"/>
            <w:vAlign w:val="center"/>
          </w:tcPr>
          <w:p w:rsidR="003073A4" w:rsidRDefault="000545DD">
            <w:pPr>
              <w:widowControl/>
              <w:jc w:val="center"/>
              <w:rPr>
                <w:sz w:val="18"/>
                <w:szCs w:val="18"/>
              </w:rPr>
            </w:pPr>
            <w:r>
              <w:rPr>
                <w:sz w:val="18"/>
                <w:szCs w:val="18"/>
              </w:rPr>
              <w:t>0%</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2.2 - PASSIVO NÃO CIRCULANTE</w:t>
            </w:r>
          </w:p>
        </w:tc>
        <w:tc>
          <w:tcPr>
            <w:tcW w:w="1572" w:type="dxa"/>
            <w:shd w:val="clear" w:color="auto" w:fill="44536A"/>
            <w:vAlign w:val="center"/>
          </w:tcPr>
          <w:p w:rsidR="003073A4" w:rsidRDefault="000545DD">
            <w:pPr>
              <w:widowControl/>
              <w:jc w:val="center"/>
              <w:rPr>
                <w:b/>
                <w:bCs/>
                <w:color w:val="FF0000"/>
                <w:sz w:val="18"/>
                <w:szCs w:val="18"/>
              </w:rPr>
            </w:pPr>
            <w:r>
              <w:rPr>
                <w:b/>
                <w:bCs/>
                <w:color w:val="FFFFFF"/>
                <w:sz w:val="18"/>
                <w:szCs w:val="18"/>
              </w:rPr>
              <w:t>58.197</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61.072</w:t>
            </w:r>
          </w:p>
        </w:tc>
        <w:tc>
          <w:tcPr>
            <w:tcW w:w="1054" w:type="dxa"/>
            <w:shd w:val="clear" w:color="auto" w:fill="44536A"/>
            <w:vAlign w:val="center"/>
          </w:tcPr>
          <w:p w:rsidR="003073A4" w:rsidRDefault="000545DD">
            <w:pPr>
              <w:widowControl/>
              <w:jc w:val="center"/>
              <w:rPr>
                <w:b/>
                <w:bCs/>
                <w:color w:val="FF0000"/>
                <w:sz w:val="18"/>
                <w:szCs w:val="18"/>
              </w:rPr>
            </w:pPr>
            <w:r>
              <w:rPr>
                <w:b/>
                <w:bCs/>
                <w:color w:val="FFFFFF"/>
                <w:sz w:val="18"/>
                <w:szCs w:val="18"/>
              </w:rPr>
              <w:t>4,94%</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OBRIGAÇÕES FISCAIS/PREV. EM LONGO PRAZO</w:t>
            </w:r>
          </w:p>
        </w:tc>
        <w:tc>
          <w:tcPr>
            <w:tcW w:w="1572" w:type="dxa"/>
            <w:shd w:val="clear" w:color="auto" w:fill="BEBEBE"/>
            <w:vAlign w:val="center"/>
          </w:tcPr>
          <w:p w:rsidR="003073A4" w:rsidRDefault="000545DD">
            <w:pPr>
              <w:widowControl/>
              <w:jc w:val="center"/>
              <w:rPr>
                <w:sz w:val="18"/>
                <w:szCs w:val="18"/>
              </w:rPr>
            </w:pPr>
            <w:r>
              <w:rPr>
                <w:sz w:val="18"/>
                <w:szCs w:val="18"/>
              </w:rPr>
              <w:t>12.030</w:t>
            </w:r>
          </w:p>
        </w:tc>
        <w:tc>
          <w:tcPr>
            <w:tcW w:w="1572" w:type="dxa"/>
            <w:shd w:val="clear" w:color="auto" w:fill="BEBEBE"/>
            <w:vAlign w:val="center"/>
          </w:tcPr>
          <w:p w:rsidR="003073A4" w:rsidRDefault="000545DD">
            <w:pPr>
              <w:widowControl/>
              <w:jc w:val="center"/>
              <w:rPr>
                <w:sz w:val="18"/>
                <w:szCs w:val="18"/>
              </w:rPr>
            </w:pPr>
            <w:r>
              <w:rPr>
                <w:sz w:val="18"/>
                <w:szCs w:val="18"/>
              </w:rPr>
              <w:t>11.845</w:t>
            </w:r>
          </w:p>
        </w:tc>
        <w:tc>
          <w:tcPr>
            <w:tcW w:w="1054" w:type="dxa"/>
            <w:shd w:val="clear" w:color="auto" w:fill="BEBEBE"/>
            <w:vAlign w:val="center"/>
          </w:tcPr>
          <w:p w:rsidR="003073A4" w:rsidRDefault="000545DD">
            <w:pPr>
              <w:widowControl/>
              <w:jc w:val="center"/>
              <w:rPr>
                <w:sz w:val="18"/>
                <w:szCs w:val="18"/>
              </w:rPr>
            </w:pPr>
            <w:r>
              <w:rPr>
                <w:sz w:val="18"/>
                <w:szCs w:val="18"/>
              </w:rPr>
              <w:t>-1,54%</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OBRIGAÇÕES SOCIETÁRIAS EM LONGO PRAZO</w:t>
            </w:r>
          </w:p>
        </w:tc>
        <w:tc>
          <w:tcPr>
            <w:tcW w:w="1572" w:type="dxa"/>
            <w:shd w:val="clear" w:color="auto" w:fill="BEBEBE"/>
            <w:vAlign w:val="center"/>
          </w:tcPr>
          <w:p w:rsidR="003073A4" w:rsidRDefault="000545DD">
            <w:pPr>
              <w:widowControl/>
              <w:jc w:val="center"/>
              <w:rPr>
                <w:sz w:val="18"/>
                <w:szCs w:val="18"/>
              </w:rPr>
            </w:pPr>
            <w:r>
              <w:rPr>
                <w:sz w:val="18"/>
                <w:szCs w:val="18"/>
              </w:rPr>
              <w:t>5.828</w:t>
            </w:r>
          </w:p>
        </w:tc>
        <w:tc>
          <w:tcPr>
            <w:tcW w:w="1572" w:type="dxa"/>
            <w:shd w:val="clear" w:color="auto" w:fill="BEBEBE"/>
            <w:vAlign w:val="center"/>
          </w:tcPr>
          <w:p w:rsidR="003073A4" w:rsidRDefault="000545DD">
            <w:pPr>
              <w:widowControl/>
              <w:jc w:val="center"/>
              <w:rPr>
                <w:sz w:val="18"/>
                <w:szCs w:val="18"/>
              </w:rPr>
            </w:pPr>
            <w:r>
              <w:rPr>
                <w:sz w:val="18"/>
                <w:szCs w:val="18"/>
              </w:rPr>
              <w:t>6.663</w:t>
            </w:r>
          </w:p>
        </w:tc>
        <w:tc>
          <w:tcPr>
            <w:tcW w:w="1054" w:type="dxa"/>
            <w:shd w:val="clear" w:color="auto" w:fill="BEBEBE"/>
            <w:vAlign w:val="center"/>
          </w:tcPr>
          <w:p w:rsidR="003073A4" w:rsidRDefault="000545DD">
            <w:pPr>
              <w:widowControl/>
              <w:jc w:val="center"/>
              <w:rPr>
                <w:sz w:val="18"/>
                <w:szCs w:val="18"/>
              </w:rPr>
            </w:pPr>
            <w:r>
              <w:rPr>
                <w:sz w:val="18"/>
                <w:szCs w:val="18"/>
              </w:rPr>
              <w:t>14,33%</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OBRIGAÇÕES PLANO DE PREV PORTUS</w:t>
            </w:r>
          </w:p>
        </w:tc>
        <w:tc>
          <w:tcPr>
            <w:tcW w:w="1572" w:type="dxa"/>
            <w:shd w:val="clear" w:color="auto" w:fill="BEBEBE"/>
            <w:vAlign w:val="center"/>
          </w:tcPr>
          <w:p w:rsidR="003073A4" w:rsidRDefault="000545DD">
            <w:pPr>
              <w:widowControl/>
              <w:jc w:val="center"/>
              <w:rPr>
                <w:sz w:val="18"/>
                <w:szCs w:val="18"/>
              </w:rPr>
            </w:pPr>
            <w:r>
              <w:rPr>
                <w:sz w:val="18"/>
                <w:szCs w:val="18"/>
              </w:rPr>
              <w:t>31.106</w:t>
            </w:r>
          </w:p>
        </w:tc>
        <w:tc>
          <w:tcPr>
            <w:tcW w:w="1572" w:type="dxa"/>
            <w:shd w:val="clear" w:color="auto" w:fill="BEBEBE"/>
            <w:vAlign w:val="center"/>
          </w:tcPr>
          <w:p w:rsidR="003073A4" w:rsidRDefault="000545DD">
            <w:pPr>
              <w:widowControl/>
              <w:jc w:val="center"/>
              <w:rPr>
                <w:sz w:val="18"/>
                <w:szCs w:val="18"/>
              </w:rPr>
            </w:pPr>
            <w:r>
              <w:rPr>
                <w:sz w:val="18"/>
                <w:szCs w:val="18"/>
              </w:rPr>
              <w:t>33.375</w:t>
            </w:r>
          </w:p>
        </w:tc>
        <w:tc>
          <w:tcPr>
            <w:tcW w:w="1054" w:type="dxa"/>
            <w:shd w:val="clear" w:color="auto" w:fill="BEBEBE"/>
            <w:vAlign w:val="center"/>
          </w:tcPr>
          <w:p w:rsidR="003073A4" w:rsidRDefault="000545DD">
            <w:pPr>
              <w:widowControl/>
              <w:jc w:val="center"/>
              <w:rPr>
                <w:sz w:val="18"/>
                <w:szCs w:val="18"/>
              </w:rPr>
            </w:pPr>
            <w:r>
              <w:rPr>
                <w:sz w:val="18"/>
                <w:szCs w:val="18"/>
              </w:rPr>
              <w:t>7,29%</w:t>
            </w:r>
          </w:p>
        </w:tc>
      </w:tr>
      <w:tr w:rsidR="003073A4">
        <w:trPr>
          <w:trHeight w:val="315"/>
        </w:trPr>
        <w:tc>
          <w:tcPr>
            <w:tcW w:w="4722" w:type="dxa"/>
            <w:shd w:val="clear" w:color="auto" w:fill="8496AF"/>
            <w:vAlign w:val="center"/>
          </w:tcPr>
          <w:p w:rsidR="003073A4" w:rsidRDefault="000545DD">
            <w:pPr>
              <w:widowControl/>
              <w:rPr>
                <w:b/>
                <w:bCs/>
                <w:sz w:val="18"/>
                <w:szCs w:val="18"/>
              </w:rPr>
            </w:pPr>
            <w:r>
              <w:rPr>
                <w:b/>
                <w:bCs/>
                <w:sz w:val="18"/>
                <w:szCs w:val="18"/>
              </w:rPr>
              <w:t>RECEITAS DIFERIDAS</w:t>
            </w:r>
          </w:p>
        </w:tc>
        <w:tc>
          <w:tcPr>
            <w:tcW w:w="1572" w:type="dxa"/>
            <w:shd w:val="clear" w:color="auto" w:fill="BEBEBE"/>
            <w:vAlign w:val="center"/>
          </w:tcPr>
          <w:p w:rsidR="003073A4" w:rsidRDefault="000545DD">
            <w:pPr>
              <w:widowControl/>
              <w:jc w:val="center"/>
              <w:rPr>
                <w:sz w:val="18"/>
                <w:szCs w:val="18"/>
              </w:rPr>
            </w:pPr>
            <w:r>
              <w:rPr>
                <w:sz w:val="18"/>
                <w:szCs w:val="18"/>
              </w:rPr>
              <w:t>9.233</w:t>
            </w:r>
          </w:p>
        </w:tc>
        <w:tc>
          <w:tcPr>
            <w:tcW w:w="1572" w:type="dxa"/>
            <w:shd w:val="clear" w:color="auto" w:fill="BEBEBE"/>
            <w:vAlign w:val="center"/>
          </w:tcPr>
          <w:p w:rsidR="003073A4" w:rsidRDefault="000545DD">
            <w:pPr>
              <w:widowControl/>
              <w:jc w:val="center"/>
              <w:rPr>
                <w:sz w:val="18"/>
                <w:szCs w:val="18"/>
              </w:rPr>
            </w:pPr>
            <w:r>
              <w:rPr>
                <w:sz w:val="18"/>
                <w:szCs w:val="18"/>
              </w:rPr>
              <w:t>9.189</w:t>
            </w:r>
          </w:p>
        </w:tc>
        <w:tc>
          <w:tcPr>
            <w:tcW w:w="1054" w:type="dxa"/>
            <w:shd w:val="clear" w:color="auto" w:fill="BEBEBE"/>
            <w:vAlign w:val="center"/>
          </w:tcPr>
          <w:p w:rsidR="003073A4" w:rsidRDefault="003073A4">
            <w:pPr>
              <w:widowControl/>
              <w:jc w:val="center"/>
              <w:rPr>
                <w:color w:val="FF0000"/>
                <w:sz w:val="18"/>
                <w:szCs w:val="18"/>
              </w:rPr>
            </w:pP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2.3 - PATRIMÔNIO LÍQUIDO</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376.312</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377.352</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0,28%</w:t>
            </w:r>
          </w:p>
        </w:tc>
      </w:tr>
      <w:tr w:rsidR="003073A4">
        <w:trPr>
          <w:trHeight w:val="315"/>
        </w:trPr>
        <w:tc>
          <w:tcPr>
            <w:tcW w:w="4722" w:type="dxa"/>
            <w:shd w:val="clear" w:color="auto" w:fill="44536A"/>
            <w:vAlign w:val="center"/>
          </w:tcPr>
          <w:p w:rsidR="003073A4" w:rsidRDefault="000545DD">
            <w:pPr>
              <w:widowControl/>
              <w:rPr>
                <w:b/>
                <w:bCs/>
                <w:color w:val="FFFFFF"/>
                <w:sz w:val="18"/>
                <w:szCs w:val="18"/>
              </w:rPr>
            </w:pPr>
            <w:r>
              <w:rPr>
                <w:b/>
                <w:bCs/>
                <w:color w:val="FFFFFF"/>
                <w:sz w:val="18"/>
                <w:szCs w:val="18"/>
              </w:rPr>
              <w:t>2.4 – PASSIVO COMPENSADO</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1.237</w:t>
            </w:r>
          </w:p>
        </w:tc>
        <w:tc>
          <w:tcPr>
            <w:tcW w:w="1572" w:type="dxa"/>
            <w:shd w:val="clear" w:color="auto" w:fill="44536A"/>
            <w:vAlign w:val="center"/>
          </w:tcPr>
          <w:p w:rsidR="003073A4" w:rsidRDefault="000545DD">
            <w:pPr>
              <w:widowControl/>
              <w:jc w:val="center"/>
              <w:rPr>
                <w:b/>
                <w:bCs/>
                <w:color w:val="FFFFFF"/>
                <w:sz w:val="18"/>
                <w:szCs w:val="18"/>
              </w:rPr>
            </w:pPr>
            <w:r>
              <w:rPr>
                <w:b/>
                <w:bCs/>
                <w:color w:val="FFFFFF"/>
                <w:sz w:val="18"/>
                <w:szCs w:val="18"/>
              </w:rPr>
              <w:t>1.237</w:t>
            </w:r>
          </w:p>
        </w:tc>
        <w:tc>
          <w:tcPr>
            <w:tcW w:w="1054" w:type="dxa"/>
            <w:shd w:val="clear" w:color="auto" w:fill="44536A"/>
            <w:vAlign w:val="center"/>
          </w:tcPr>
          <w:p w:rsidR="003073A4" w:rsidRDefault="000545DD">
            <w:pPr>
              <w:widowControl/>
              <w:jc w:val="center"/>
              <w:rPr>
                <w:b/>
                <w:bCs/>
                <w:color w:val="FFFFFF"/>
                <w:sz w:val="18"/>
                <w:szCs w:val="18"/>
              </w:rPr>
            </w:pPr>
            <w:r>
              <w:rPr>
                <w:b/>
                <w:bCs/>
                <w:color w:val="FFFFFF"/>
                <w:sz w:val="18"/>
                <w:szCs w:val="18"/>
              </w:rPr>
              <w:t>0%</w:t>
            </w:r>
          </w:p>
        </w:tc>
      </w:tr>
    </w:tbl>
    <w:p w:rsidR="003073A4" w:rsidRDefault="000545DD">
      <w:pPr>
        <w:spacing w:before="120" w:after="240"/>
        <w:rPr>
          <w:sz w:val="18"/>
          <w:szCs w:val="18"/>
        </w:rPr>
      </w:pPr>
      <w:r>
        <w:rPr>
          <w:color w:val="000000"/>
          <w:sz w:val="18"/>
          <w:szCs w:val="18"/>
        </w:rPr>
        <w:t xml:space="preserve">Fonte: CODFIN – Coordenadoria </w:t>
      </w:r>
      <w:r w:rsidR="002D3188">
        <w:rPr>
          <w:color w:val="000000"/>
          <w:sz w:val="18"/>
          <w:szCs w:val="18"/>
        </w:rPr>
        <w:t>Financeira</w:t>
      </w:r>
      <w:r>
        <w:rPr>
          <w:color w:val="000000"/>
          <w:sz w:val="18"/>
          <w:szCs w:val="18"/>
        </w:rPr>
        <w:t xml:space="preserve"> (2026) </w:t>
      </w:r>
    </w:p>
    <w:p w:rsidR="003073A4" w:rsidRDefault="003073A4">
      <w:pPr>
        <w:pBdr>
          <w:top w:val="nil"/>
          <w:left w:val="nil"/>
          <w:bottom w:val="nil"/>
          <w:right w:val="nil"/>
          <w:between w:val="nil"/>
        </w:pBdr>
        <w:spacing w:before="120" w:after="120" w:line="120" w:lineRule="auto"/>
        <w:jc w:val="both"/>
        <w:rPr>
          <w:color w:val="FF0000"/>
        </w:rPr>
      </w:pPr>
    </w:p>
    <w:p w:rsidR="003073A4" w:rsidRDefault="000545DD">
      <w:pPr>
        <w:spacing w:after="120" w:line="360" w:lineRule="auto"/>
        <w:jc w:val="both"/>
        <w:rPr>
          <w:color w:val="000000"/>
        </w:rPr>
      </w:pPr>
      <w:r>
        <w:rPr>
          <w:color w:val="000000"/>
        </w:rPr>
        <w:t>O endividamento de curto prazo da Companhia manteve-se estável, principalmente pelas obrigações fiscais e previdenciárias, das quais destacamos o TCF (Termo de Compromisso Financeiro) e o RTSA (Reserva de Tempo de Serviço Anterior), assinados com o PORTUS.</w:t>
      </w:r>
    </w:p>
    <w:p w:rsidR="003073A4" w:rsidRDefault="000545DD">
      <w:pPr>
        <w:spacing w:after="120" w:line="360" w:lineRule="auto"/>
        <w:jc w:val="both"/>
        <w:rPr>
          <w:color w:val="000000"/>
        </w:rPr>
      </w:pPr>
      <w:r>
        <w:rPr>
          <w:color w:val="000000"/>
        </w:rPr>
        <w:t>Ante todo o exposto, em resumo, verifica-se que a CDC continua com índices de liquidez positivos, em especial o indicador de Liquidez Corrente, que em 2025 apresentou resultado de 2,69, atestando, assim, a capacidade que a Companhia tem</w:t>
      </w:r>
      <w:r>
        <w:rPr>
          <w:rFonts w:ascii="Arial" w:eastAsia="Arial" w:hAnsi="Arial" w:cs="Arial"/>
          <w:color w:val="000000"/>
          <w:sz w:val="24"/>
          <w:szCs w:val="24"/>
        </w:rPr>
        <w:t xml:space="preserve"> </w:t>
      </w:r>
      <w:r>
        <w:rPr>
          <w:color w:val="000000"/>
        </w:rPr>
        <w:t>de honrar seus compromissos de curto prazo.</w:t>
      </w:r>
    </w:p>
    <w:p w:rsidR="003073A4" w:rsidRDefault="003073A4">
      <w:pPr>
        <w:pBdr>
          <w:top w:val="nil"/>
          <w:left w:val="nil"/>
          <w:bottom w:val="nil"/>
          <w:right w:val="nil"/>
          <w:between w:val="nil"/>
        </w:pBdr>
        <w:spacing w:before="120" w:after="120" w:line="120" w:lineRule="auto"/>
        <w:ind w:right="193"/>
        <w:jc w:val="both"/>
        <w:rPr>
          <w:color w:val="FF0000"/>
        </w:rPr>
      </w:pPr>
    </w:p>
    <w:p w:rsidR="003073A4" w:rsidRDefault="000545DD">
      <w:pPr>
        <w:pBdr>
          <w:top w:val="nil"/>
          <w:left w:val="nil"/>
          <w:bottom w:val="nil"/>
          <w:right w:val="nil"/>
          <w:between w:val="nil"/>
        </w:pBdr>
        <w:spacing w:before="120" w:after="120" w:line="360" w:lineRule="auto"/>
        <w:ind w:right="195"/>
        <w:jc w:val="both"/>
        <w:rPr>
          <w:i/>
          <w:iCs/>
          <w:color w:val="000000"/>
          <w:sz w:val="18"/>
          <w:szCs w:val="18"/>
        </w:rPr>
      </w:pPr>
      <w:r>
        <w:rPr>
          <w:color w:val="000000"/>
          <w:sz w:val="18"/>
          <w:szCs w:val="18"/>
        </w:rPr>
        <w:t>Tabela 16 – Indicadores econômico-financeiros 2025 x 2024</w:t>
      </w:r>
    </w:p>
    <w:tbl>
      <w:tblPr>
        <w:tblStyle w:val="af2"/>
        <w:tblW w:w="93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1122"/>
        <w:gridCol w:w="1427"/>
        <w:gridCol w:w="1427"/>
        <w:gridCol w:w="1476"/>
      </w:tblGrid>
      <w:tr w:rsidR="003073A4">
        <w:trPr>
          <w:trHeight w:val="495"/>
          <w:tblHeader/>
        </w:trPr>
        <w:tc>
          <w:tcPr>
            <w:tcW w:w="9352" w:type="dxa"/>
            <w:gridSpan w:val="5"/>
            <w:shd w:val="clear" w:color="auto" w:fill="203764"/>
            <w:vAlign w:val="center"/>
          </w:tcPr>
          <w:p w:rsidR="003073A4" w:rsidRDefault="000545DD">
            <w:pPr>
              <w:widowControl/>
              <w:jc w:val="center"/>
              <w:rPr>
                <w:b/>
                <w:bCs/>
                <w:color w:val="FFFFFF"/>
                <w:sz w:val="18"/>
                <w:szCs w:val="18"/>
              </w:rPr>
            </w:pPr>
            <w:r>
              <w:rPr>
                <w:b/>
                <w:bCs/>
                <w:color w:val="FFFFFF"/>
                <w:sz w:val="18"/>
                <w:szCs w:val="18"/>
              </w:rPr>
              <w:t>INDICADORES DE EFETIVIDADE</w:t>
            </w:r>
          </w:p>
        </w:tc>
      </w:tr>
      <w:tr w:rsidR="003073A4">
        <w:trPr>
          <w:trHeight w:val="495"/>
          <w:tblHeader/>
        </w:trPr>
        <w:tc>
          <w:tcPr>
            <w:tcW w:w="3900" w:type="dxa"/>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1122" w:type="dxa"/>
            <w:shd w:val="clear" w:color="auto" w:fill="203764"/>
            <w:vAlign w:val="center"/>
          </w:tcPr>
          <w:p w:rsidR="003073A4" w:rsidRDefault="000545DD">
            <w:pPr>
              <w:widowControl/>
              <w:jc w:val="center"/>
              <w:rPr>
                <w:b/>
                <w:bCs/>
                <w:color w:val="FFFFFF"/>
                <w:sz w:val="18"/>
                <w:szCs w:val="18"/>
              </w:rPr>
            </w:pPr>
            <w:r>
              <w:rPr>
                <w:b/>
                <w:bCs/>
                <w:color w:val="FFFFFF"/>
                <w:sz w:val="18"/>
                <w:szCs w:val="18"/>
              </w:rPr>
              <w:t>UNID/REF</w:t>
            </w:r>
          </w:p>
        </w:tc>
        <w:tc>
          <w:tcPr>
            <w:tcW w:w="1427" w:type="dxa"/>
            <w:shd w:val="clear" w:color="auto" w:fill="203764"/>
            <w:vAlign w:val="center"/>
          </w:tcPr>
          <w:p w:rsidR="003073A4" w:rsidRDefault="000545DD">
            <w:pPr>
              <w:widowControl/>
              <w:jc w:val="center"/>
              <w:rPr>
                <w:b/>
                <w:bCs/>
                <w:color w:val="FFFFFF"/>
                <w:sz w:val="18"/>
                <w:szCs w:val="18"/>
              </w:rPr>
            </w:pPr>
            <w:r>
              <w:rPr>
                <w:b/>
                <w:bCs/>
                <w:color w:val="FFFFFF"/>
                <w:sz w:val="18"/>
                <w:szCs w:val="18"/>
              </w:rPr>
              <w:t>31/12/2025</w:t>
            </w:r>
          </w:p>
        </w:tc>
        <w:tc>
          <w:tcPr>
            <w:tcW w:w="1427" w:type="dxa"/>
            <w:shd w:val="clear" w:color="auto" w:fill="203764"/>
            <w:vAlign w:val="center"/>
          </w:tcPr>
          <w:p w:rsidR="003073A4" w:rsidRDefault="000545DD">
            <w:pPr>
              <w:widowControl/>
              <w:jc w:val="center"/>
              <w:rPr>
                <w:b/>
                <w:bCs/>
                <w:color w:val="FFFFFF"/>
                <w:sz w:val="18"/>
                <w:szCs w:val="18"/>
              </w:rPr>
            </w:pPr>
            <w:r>
              <w:rPr>
                <w:b/>
                <w:bCs/>
                <w:color w:val="FFFFFF"/>
                <w:sz w:val="18"/>
                <w:szCs w:val="18"/>
              </w:rPr>
              <w:t>31/12/2024</w:t>
            </w:r>
          </w:p>
        </w:tc>
        <w:tc>
          <w:tcPr>
            <w:tcW w:w="1476" w:type="dxa"/>
            <w:shd w:val="clear" w:color="auto" w:fill="203764"/>
            <w:vAlign w:val="center"/>
          </w:tcPr>
          <w:p w:rsidR="003073A4" w:rsidRDefault="000545DD">
            <w:pPr>
              <w:widowControl/>
              <w:jc w:val="center"/>
              <w:rPr>
                <w:b/>
                <w:bCs/>
                <w:color w:val="FFFFFF"/>
                <w:sz w:val="18"/>
                <w:szCs w:val="18"/>
              </w:rPr>
            </w:pPr>
            <w:r>
              <w:rPr>
                <w:b/>
                <w:bCs/>
                <w:color w:val="FFFFFF"/>
                <w:sz w:val="18"/>
                <w:szCs w:val="18"/>
              </w:rPr>
              <w:t>VARIAÇÃO (%) 2025/2024</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RETORNO DE CAPITAL</w:t>
            </w:r>
          </w:p>
        </w:tc>
        <w:tc>
          <w:tcPr>
            <w:tcW w:w="1122" w:type="dxa"/>
            <w:shd w:val="clear" w:color="auto" w:fill="BEBEBE"/>
            <w:vAlign w:val="center"/>
          </w:tcPr>
          <w:p w:rsidR="003073A4" w:rsidRDefault="000545DD">
            <w:pPr>
              <w:widowControl/>
              <w:jc w:val="center"/>
              <w:rPr>
                <w:sz w:val="18"/>
                <w:szCs w:val="18"/>
              </w:rPr>
            </w:pPr>
            <w:r>
              <w:rPr>
                <w:sz w:val="18"/>
                <w:szCs w:val="18"/>
              </w:rPr>
              <w:t>i / 100</w:t>
            </w:r>
          </w:p>
        </w:tc>
        <w:tc>
          <w:tcPr>
            <w:tcW w:w="1427" w:type="dxa"/>
            <w:shd w:val="clear" w:color="auto" w:fill="BEBEBE"/>
            <w:vAlign w:val="center"/>
          </w:tcPr>
          <w:p w:rsidR="003073A4" w:rsidRDefault="000545DD">
            <w:pPr>
              <w:widowControl/>
              <w:jc w:val="center"/>
              <w:rPr>
                <w:sz w:val="18"/>
                <w:szCs w:val="18"/>
              </w:rPr>
            </w:pPr>
            <w:r>
              <w:rPr>
                <w:sz w:val="18"/>
                <w:szCs w:val="18"/>
              </w:rPr>
              <w:t>0,0082</w:t>
            </w:r>
          </w:p>
        </w:tc>
        <w:tc>
          <w:tcPr>
            <w:tcW w:w="1427" w:type="dxa"/>
            <w:shd w:val="clear" w:color="auto" w:fill="BEBEBE"/>
            <w:vAlign w:val="center"/>
          </w:tcPr>
          <w:p w:rsidR="003073A4" w:rsidRDefault="000545DD">
            <w:pPr>
              <w:widowControl/>
              <w:jc w:val="center"/>
              <w:rPr>
                <w:sz w:val="18"/>
                <w:szCs w:val="18"/>
              </w:rPr>
            </w:pPr>
            <w:r>
              <w:rPr>
                <w:sz w:val="18"/>
                <w:szCs w:val="18"/>
              </w:rPr>
              <w:t>0,038</w:t>
            </w:r>
          </w:p>
        </w:tc>
        <w:tc>
          <w:tcPr>
            <w:tcW w:w="1476" w:type="dxa"/>
            <w:shd w:val="clear" w:color="auto" w:fill="BEBEBE"/>
            <w:vAlign w:val="center"/>
          </w:tcPr>
          <w:p w:rsidR="003073A4" w:rsidRDefault="000545DD">
            <w:pPr>
              <w:widowControl/>
              <w:jc w:val="center"/>
              <w:rPr>
                <w:sz w:val="18"/>
                <w:szCs w:val="18"/>
              </w:rPr>
            </w:pPr>
            <w:r>
              <w:rPr>
                <w:sz w:val="18"/>
                <w:szCs w:val="18"/>
              </w:rPr>
              <w:t>-78,59%</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EFICIÊNCIA OPERACIONAL</w:t>
            </w:r>
          </w:p>
        </w:tc>
        <w:tc>
          <w:tcPr>
            <w:tcW w:w="1122" w:type="dxa"/>
            <w:shd w:val="clear" w:color="auto" w:fill="BEBEBE"/>
            <w:vAlign w:val="center"/>
          </w:tcPr>
          <w:p w:rsidR="003073A4" w:rsidRDefault="000545DD">
            <w:pPr>
              <w:widowControl/>
              <w:jc w:val="center"/>
              <w:rPr>
                <w:sz w:val="18"/>
                <w:szCs w:val="18"/>
              </w:rPr>
            </w:pPr>
            <w:r>
              <w:rPr>
                <w:sz w:val="18"/>
                <w:szCs w:val="18"/>
              </w:rPr>
              <w:t>% / &lt;60%</w:t>
            </w:r>
          </w:p>
        </w:tc>
        <w:tc>
          <w:tcPr>
            <w:tcW w:w="1427" w:type="dxa"/>
            <w:shd w:val="clear" w:color="auto" w:fill="BEBEBE"/>
            <w:vAlign w:val="center"/>
          </w:tcPr>
          <w:p w:rsidR="003073A4" w:rsidRPr="00EF12C2" w:rsidRDefault="00631F5C">
            <w:pPr>
              <w:widowControl/>
              <w:jc w:val="center"/>
              <w:rPr>
                <w:strike/>
                <w:sz w:val="18"/>
                <w:szCs w:val="18"/>
              </w:rPr>
            </w:pPr>
            <w:r w:rsidRPr="00EF12C2">
              <w:rPr>
                <w:sz w:val="18"/>
                <w:szCs w:val="18"/>
              </w:rPr>
              <w:t>38,65</w:t>
            </w:r>
          </w:p>
        </w:tc>
        <w:tc>
          <w:tcPr>
            <w:tcW w:w="1427" w:type="dxa"/>
            <w:shd w:val="clear" w:color="auto" w:fill="BEBEBE"/>
            <w:vAlign w:val="center"/>
          </w:tcPr>
          <w:p w:rsidR="003073A4" w:rsidRPr="00EF12C2" w:rsidRDefault="000545DD">
            <w:pPr>
              <w:widowControl/>
              <w:jc w:val="center"/>
              <w:rPr>
                <w:sz w:val="18"/>
                <w:szCs w:val="18"/>
              </w:rPr>
            </w:pPr>
            <w:r w:rsidRPr="00EF12C2">
              <w:rPr>
                <w:sz w:val="18"/>
                <w:szCs w:val="18"/>
              </w:rPr>
              <w:t>48,56</w:t>
            </w:r>
          </w:p>
        </w:tc>
        <w:tc>
          <w:tcPr>
            <w:tcW w:w="1476" w:type="dxa"/>
            <w:shd w:val="clear" w:color="auto" w:fill="BEBEBE"/>
            <w:vAlign w:val="center"/>
          </w:tcPr>
          <w:p w:rsidR="003073A4" w:rsidRPr="00EF12C2" w:rsidRDefault="00631F5C">
            <w:pPr>
              <w:widowControl/>
              <w:jc w:val="center"/>
              <w:rPr>
                <w:strike/>
                <w:sz w:val="18"/>
                <w:szCs w:val="18"/>
              </w:rPr>
            </w:pPr>
            <w:r w:rsidRPr="00EF12C2">
              <w:rPr>
                <w:sz w:val="18"/>
                <w:szCs w:val="18"/>
              </w:rPr>
              <w:t>-20,4%</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EFICIÊNCIA ADMINISTRATIVA</w:t>
            </w:r>
          </w:p>
        </w:tc>
        <w:tc>
          <w:tcPr>
            <w:tcW w:w="1122" w:type="dxa"/>
            <w:shd w:val="clear" w:color="auto" w:fill="BEBEBE"/>
            <w:vAlign w:val="center"/>
          </w:tcPr>
          <w:p w:rsidR="003073A4" w:rsidRDefault="000545DD">
            <w:pPr>
              <w:widowControl/>
              <w:jc w:val="center"/>
              <w:rPr>
                <w:sz w:val="18"/>
                <w:szCs w:val="18"/>
              </w:rPr>
            </w:pPr>
            <w:r>
              <w:rPr>
                <w:sz w:val="18"/>
                <w:szCs w:val="18"/>
              </w:rPr>
              <w:t>% / &lt;30%</w:t>
            </w:r>
          </w:p>
        </w:tc>
        <w:tc>
          <w:tcPr>
            <w:tcW w:w="1427" w:type="dxa"/>
            <w:shd w:val="clear" w:color="auto" w:fill="BEBEBE"/>
            <w:vAlign w:val="center"/>
          </w:tcPr>
          <w:p w:rsidR="003073A4" w:rsidRPr="00EF12C2" w:rsidRDefault="00631F5C">
            <w:pPr>
              <w:widowControl/>
              <w:jc w:val="center"/>
              <w:rPr>
                <w:sz w:val="18"/>
                <w:szCs w:val="18"/>
              </w:rPr>
            </w:pPr>
            <w:r w:rsidRPr="00EF12C2">
              <w:rPr>
                <w:sz w:val="18"/>
                <w:szCs w:val="18"/>
              </w:rPr>
              <w:t>33,21</w:t>
            </w:r>
          </w:p>
        </w:tc>
        <w:tc>
          <w:tcPr>
            <w:tcW w:w="1427" w:type="dxa"/>
            <w:shd w:val="clear" w:color="auto" w:fill="BEBEBE"/>
            <w:vAlign w:val="center"/>
          </w:tcPr>
          <w:p w:rsidR="003073A4" w:rsidRPr="00EF12C2" w:rsidRDefault="000545DD">
            <w:pPr>
              <w:widowControl/>
              <w:jc w:val="center"/>
              <w:rPr>
                <w:sz w:val="18"/>
                <w:szCs w:val="18"/>
              </w:rPr>
            </w:pPr>
            <w:r w:rsidRPr="00EF12C2">
              <w:rPr>
                <w:sz w:val="18"/>
                <w:szCs w:val="18"/>
              </w:rPr>
              <w:t>36,52</w:t>
            </w:r>
          </w:p>
        </w:tc>
        <w:tc>
          <w:tcPr>
            <w:tcW w:w="1476" w:type="dxa"/>
            <w:shd w:val="clear" w:color="auto" w:fill="BEBEBE"/>
            <w:vAlign w:val="center"/>
          </w:tcPr>
          <w:p w:rsidR="003073A4" w:rsidRPr="00EF12C2" w:rsidRDefault="00631F5C">
            <w:pPr>
              <w:widowControl/>
              <w:jc w:val="center"/>
              <w:rPr>
                <w:sz w:val="18"/>
                <w:szCs w:val="18"/>
              </w:rPr>
            </w:pPr>
            <w:r w:rsidRPr="00EF12C2">
              <w:rPr>
                <w:sz w:val="18"/>
                <w:szCs w:val="18"/>
              </w:rPr>
              <w:t>-9,06%</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LIQUIDEZ CORRENTE</w:t>
            </w:r>
          </w:p>
        </w:tc>
        <w:tc>
          <w:tcPr>
            <w:tcW w:w="1122" w:type="dxa"/>
            <w:shd w:val="clear" w:color="auto" w:fill="BEBEBE"/>
            <w:vAlign w:val="center"/>
          </w:tcPr>
          <w:p w:rsidR="003073A4" w:rsidRDefault="000545DD">
            <w:pPr>
              <w:widowControl/>
              <w:jc w:val="center"/>
              <w:rPr>
                <w:sz w:val="18"/>
                <w:szCs w:val="18"/>
              </w:rPr>
            </w:pPr>
            <w:r>
              <w:rPr>
                <w:sz w:val="18"/>
                <w:szCs w:val="18"/>
              </w:rPr>
              <w:t>i / 1,00</w:t>
            </w:r>
          </w:p>
        </w:tc>
        <w:tc>
          <w:tcPr>
            <w:tcW w:w="1427" w:type="dxa"/>
            <w:shd w:val="clear" w:color="auto" w:fill="BEBEBE"/>
            <w:vAlign w:val="center"/>
          </w:tcPr>
          <w:p w:rsidR="003073A4" w:rsidRDefault="000545DD">
            <w:pPr>
              <w:widowControl/>
              <w:jc w:val="center"/>
              <w:rPr>
                <w:sz w:val="18"/>
                <w:szCs w:val="18"/>
              </w:rPr>
            </w:pPr>
            <w:r>
              <w:rPr>
                <w:sz w:val="18"/>
                <w:szCs w:val="18"/>
              </w:rPr>
              <w:t>2,69</w:t>
            </w:r>
          </w:p>
        </w:tc>
        <w:tc>
          <w:tcPr>
            <w:tcW w:w="1427" w:type="dxa"/>
            <w:shd w:val="clear" w:color="auto" w:fill="BEBEBE"/>
            <w:vAlign w:val="center"/>
          </w:tcPr>
          <w:p w:rsidR="003073A4" w:rsidRDefault="000545DD">
            <w:pPr>
              <w:widowControl/>
              <w:jc w:val="center"/>
              <w:rPr>
                <w:sz w:val="18"/>
                <w:szCs w:val="18"/>
              </w:rPr>
            </w:pPr>
            <w:r>
              <w:rPr>
                <w:sz w:val="18"/>
                <w:szCs w:val="18"/>
              </w:rPr>
              <w:t>3,01</w:t>
            </w:r>
          </w:p>
        </w:tc>
        <w:tc>
          <w:tcPr>
            <w:tcW w:w="1476" w:type="dxa"/>
            <w:shd w:val="clear" w:color="auto" w:fill="BEBEBE"/>
            <w:vAlign w:val="center"/>
          </w:tcPr>
          <w:p w:rsidR="003073A4" w:rsidRDefault="000545DD">
            <w:pPr>
              <w:widowControl/>
              <w:jc w:val="center"/>
              <w:rPr>
                <w:sz w:val="18"/>
                <w:szCs w:val="18"/>
              </w:rPr>
            </w:pPr>
            <w:r>
              <w:rPr>
                <w:sz w:val="18"/>
                <w:szCs w:val="18"/>
              </w:rPr>
              <w:t>-10,63%</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LIQUIDEZ GERAL</w:t>
            </w:r>
          </w:p>
        </w:tc>
        <w:tc>
          <w:tcPr>
            <w:tcW w:w="1122" w:type="dxa"/>
            <w:shd w:val="clear" w:color="auto" w:fill="BEBEBE"/>
            <w:vAlign w:val="center"/>
          </w:tcPr>
          <w:p w:rsidR="003073A4" w:rsidRDefault="000545DD">
            <w:pPr>
              <w:widowControl/>
              <w:jc w:val="center"/>
              <w:rPr>
                <w:sz w:val="18"/>
                <w:szCs w:val="18"/>
              </w:rPr>
            </w:pPr>
            <w:r>
              <w:rPr>
                <w:sz w:val="18"/>
                <w:szCs w:val="18"/>
              </w:rPr>
              <w:t>i / 1,00</w:t>
            </w:r>
          </w:p>
        </w:tc>
        <w:tc>
          <w:tcPr>
            <w:tcW w:w="1427" w:type="dxa"/>
            <w:shd w:val="clear" w:color="auto" w:fill="BEBEBE"/>
            <w:vAlign w:val="center"/>
          </w:tcPr>
          <w:p w:rsidR="003073A4" w:rsidRDefault="000545DD">
            <w:pPr>
              <w:widowControl/>
              <w:jc w:val="center"/>
              <w:rPr>
                <w:sz w:val="18"/>
                <w:szCs w:val="18"/>
              </w:rPr>
            </w:pPr>
            <w:r>
              <w:rPr>
                <w:sz w:val="18"/>
                <w:szCs w:val="18"/>
              </w:rPr>
              <w:t>2,4</w:t>
            </w:r>
          </w:p>
        </w:tc>
        <w:tc>
          <w:tcPr>
            <w:tcW w:w="1427" w:type="dxa"/>
            <w:shd w:val="clear" w:color="auto" w:fill="BEBEBE"/>
            <w:vAlign w:val="center"/>
          </w:tcPr>
          <w:p w:rsidR="003073A4" w:rsidRDefault="000545DD">
            <w:pPr>
              <w:widowControl/>
              <w:jc w:val="center"/>
              <w:rPr>
                <w:sz w:val="18"/>
                <w:szCs w:val="18"/>
              </w:rPr>
            </w:pPr>
            <w:r>
              <w:rPr>
                <w:sz w:val="18"/>
                <w:szCs w:val="18"/>
              </w:rPr>
              <w:t>2,52</w:t>
            </w:r>
          </w:p>
        </w:tc>
        <w:tc>
          <w:tcPr>
            <w:tcW w:w="1476" w:type="dxa"/>
            <w:shd w:val="clear" w:color="auto" w:fill="BEBEBE"/>
            <w:vAlign w:val="center"/>
          </w:tcPr>
          <w:p w:rsidR="003073A4" w:rsidRDefault="000545DD">
            <w:pPr>
              <w:widowControl/>
              <w:jc w:val="center"/>
              <w:rPr>
                <w:sz w:val="18"/>
                <w:szCs w:val="18"/>
              </w:rPr>
            </w:pPr>
            <w:r>
              <w:rPr>
                <w:sz w:val="18"/>
                <w:szCs w:val="18"/>
              </w:rPr>
              <w:t>-4,76%</w:t>
            </w:r>
          </w:p>
        </w:tc>
      </w:tr>
      <w:tr w:rsidR="003073A4">
        <w:trPr>
          <w:trHeight w:val="315"/>
        </w:trPr>
        <w:tc>
          <w:tcPr>
            <w:tcW w:w="3900" w:type="dxa"/>
            <w:shd w:val="clear" w:color="auto" w:fill="8496AF"/>
            <w:vAlign w:val="center"/>
          </w:tcPr>
          <w:p w:rsidR="003073A4" w:rsidRDefault="000545DD">
            <w:pPr>
              <w:widowControl/>
              <w:rPr>
                <w:b/>
                <w:bCs/>
                <w:sz w:val="19"/>
                <w:szCs w:val="19"/>
              </w:rPr>
            </w:pPr>
            <w:r>
              <w:rPr>
                <w:b/>
                <w:bCs/>
                <w:sz w:val="19"/>
                <w:szCs w:val="19"/>
              </w:rPr>
              <w:t>COMPOSIÇÃO DO ENDIVIDAMENTO</w:t>
            </w:r>
          </w:p>
        </w:tc>
        <w:tc>
          <w:tcPr>
            <w:tcW w:w="1122" w:type="dxa"/>
            <w:shd w:val="clear" w:color="auto" w:fill="BEBEBE"/>
            <w:vAlign w:val="center"/>
          </w:tcPr>
          <w:p w:rsidR="003073A4" w:rsidRDefault="000545DD">
            <w:pPr>
              <w:widowControl/>
              <w:jc w:val="center"/>
              <w:rPr>
                <w:sz w:val="18"/>
                <w:szCs w:val="18"/>
              </w:rPr>
            </w:pPr>
            <w:r>
              <w:rPr>
                <w:sz w:val="18"/>
                <w:szCs w:val="18"/>
              </w:rPr>
              <w:t>% / &gt;30%</w:t>
            </w:r>
          </w:p>
        </w:tc>
        <w:tc>
          <w:tcPr>
            <w:tcW w:w="1427" w:type="dxa"/>
            <w:shd w:val="clear" w:color="auto" w:fill="BEBEBE"/>
            <w:vAlign w:val="center"/>
          </w:tcPr>
          <w:p w:rsidR="003073A4" w:rsidRDefault="000545DD">
            <w:pPr>
              <w:widowControl/>
              <w:jc w:val="center"/>
              <w:rPr>
                <w:sz w:val="18"/>
                <w:szCs w:val="18"/>
              </w:rPr>
            </w:pPr>
            <w:r>
              <w:rPr>
                <w:sz w:val="18"/>
                <w:szCs w:val="18"/>
              </w:rPr>
              <w:t>27,43</w:t>
            </w:r>
          </w:p>
        </w:tc>
        <w:tc>
          <w:tcPr>
            <w:tcW w:w="1427" w:type="dxa"/>
            <w:shd w:val="clear" w:color="auto" w:fill="BEBEBE"/>
            <w:vAlign w:val="center"/>
          </w:tcPr>
          <w:p w:rsidR="003073A4" w:rsidRDefault="000545DD">
            <w:pPr>
              <w:widowControl/>
              <w:jc w:val="center"/>
              <w:rPr>
                <w:sz w:val="18"/>
                <w:szCs w:val="18"/>
              </w:rPr>
            </w:pPr>
            <w:r>
              <w:rPr>
                <w:sz w:val="18"/>
                <w:szCs w:val="18"/>
              </w:rPr>
              <w:t>28,75</w:t>
            </w:r>
          </w:p>
        </w:tc>
        <w:tc>
          <w:tcPr>
            <w:tcW w:w="1476" w:type="dxa"/>
            <w:shd w:val="clear" w:color="auto" w:fill="BEBEBE"/>
            <w:vAlign w:val="center"/>
          </w:tcPr>
          <w:p w:rsidR="003073A4" w:rsidRDefault="000545DD">
            <w:pPr>
              <w:widowControl/>
              <w:jc w:val="center"/>
              <w:rPr>
                <w:sz w:val="18"/>
                <w:szCs w:val="18"/>
              </w:rPr>
            </w:pPr>
            <w:r>
              <w:rPr>
                <w:sz w:val="18"/>
                <w:szCs w:val="18"/>
              </w:rPr>
              <w:t>-4,59%</w:t>
            </w:r>
          </w:p>
        </w:tc>
      </w:tr>
    </w:tbl>
    <w:p w:rsidR="003073A4" w:rsidRDefault="000545DD">
      <w:pPr>
        <w:spacing w:before="60" w:after="120"/>
        <w:ind w:left="221" w:hanging="221"/>
        <w:rPr>
          <w:color w:val="000000"/>
          <w:sz w:val="18"/>
          <w:szCs w:val="18"/>
        </w:rPr>
      </w:pPr>
      <w:bookmarkStart w:id="4" w:name="_heading=h.aag7oxyjgsd3" w:colFirst="0" w:colLast="0"/>
      <w:bookmarkEnd w:id="4"/>
      <w:r>
        <w:rPr>
          <w:color w:val="000000"/>
          <w:sz w:val="18"/>
          <w:szCs w:val="18"/>
        </w:rPr>
        <w:t xml:space="preserve"> Fonte: CODFIN - Coordenadoria Finan</w:t>
      </w:r>
      <w:r w:rsidR="002D3188">
        <w:rPr>
          <w:color w:val="000000"/>
          <w:sz w:val="18"/>
          <w:szCs w:val="18"/>
        </w:rPr>
        <w:t>ceira</w:t>
      </w:r>
      <w:r>
        <w:rPr>
          <w:color w:val="000000"/>
          <w:sz w:val="18"/>
          <w:szCs w:val="18"/>
        </w:rPr>
        <w:t xml:space="preserve"> (2026)</w:t>
      </w:r>
    </w:p>
    <w:p w:rsidR="003073A4" w:rsidRDefault="003073A4">
      <w:pPr>
        <w:spacing w:before="60" w:after="120"/>
        <w:ind w:left="221" w:hanging="221"/>
        <w:rPr>
          <w:color w:val="FF0000"/>
          <w:sz w:val="18"/>
          <w:szCs w:val="18"/>
        </w:rPr>
      </w:pPr>
    </w:p>
    <w:p w:rsidR="003073A4" w:rsidRDefault="000545DD">
      <w:pPr>
        <w:numPr>
          <w:ilvl w:val="1"/>
          <w:numId w:val="9"/>
        </w:numPr>
        <w:pBdr>
          <w:top w:val="nil"/>
          <w:left w:val="nil"/>
          <w:bottom w:val="nil"/>
          <w:right w:val="nil"/>
          <w:between w:val="nil"/>
        </w:pBdr>
        <w:spacing w:before="120" w:after="120"/>
        <w:jc w:val="both"/>
        <w:rPr>
          <w:b/>
          <w:bCs/>
          <w:color w:val="000000"/>
          <w:sz w:val="32"/>
          <w:szCs w:val="32"/>
        </w:rPr>
      </w:pPr>
      <w:r>
        <w:rPr>
          <w:b/>
          <w:bCs/>
          <w:color w:val="000000"/>
          <w:sz w:val="32"/>
          <w:szCs w:val="32"/>
        </w:rPr>
        <w:t>Políticas e práticas de governança corporativa</w:t>
      </w:r>
    </w:p>
    <w:p w:rsidR="003073A4" w:rsidRDefault="003073A4">
      <w:pPr>
        <w:pBdr>
          <w:top w:val="nil"/>
          <w:left w:val="nil"/>
          <w:bottom w:val="nil"/>
          <w:right w:val="nil"/>
          <w:between w:val="nil"/>
        </w:pBdr>
        <w:spacing w:before="120" w:after="120"/>
        <w:ind w:left="942" w:hanging="709"/>
        <w:jc w:val="both"/>
        <w:rPr>
          <w:b/>
          <w:bCs/>
          <w:color w:val="FF0000"/>
          <w:sz w:val="10"/>
          <w:szCs w:val="10"/>
        </w:rPr>
      </w:pPr>
    </w:p>
    <w:p w:rsidR="003073A4" w:rsidRDefault="000545DD">
      <w:pPr>
        <w:spacing w:before="120" w:after="120" w:line="360" w:lineRule="auto"/>
        <w:jc w:val="both"/>
      </w:pPr>
      <w:r>
        <w:t>A CDC possui Política de Governança aprovada em 2020 e revisada em 2022. Além disso, conta com instrumentos afins, tais como:</w:t>
      </w:r>
    </w:p>
    <w:p w:rsidR="003073A4" w:rsidRDefault="000545DD">
      <w:pPr>
        <w:numPr>
          <w:ilvl w:val="0"/>
          <w:numId w:val="4"/>
        </w:numPr>
        <w:spacing w:line="360" w:lineRule="auto"/>
        <w:ind w:right="193"/>
        <w:jc w:val="both"/>
      </w:pPr>
      <w:r>
        <w:t>Política de Gestão de Riscos e Controles Internos;</w:t>
      </w:r>
    </w:p>
    <w:p w:rsidR="003073A4" w:rsidRDefault="000545DD">
      <w:pPr>
        <w:numPr>
          <w:ilvl w:val="0"/>
          <w:numId w:val="4"/>
        </w:numPr>
        <w:spacing w:line="360" w:lineRule="auto"/>
        <w:ind w:right="193"/>
        <w:jc w:val="both"/>
      </w:pPr>
      <w:r>
        <w:t xml:space="preserve">Política de Gestão da Integridade; </w:t>
      </w:r>
    </w:p>
    <w:p w:rsidR="003073A4" w:rsidRDefault="000545DD">
      <w:pPr>
        <w:numPr>
          <w:ilvl w:val="0"/>
          <w:numId w:val="4"/>
        </w:numPr>
        <w:spacing w:line="360" w:lineRule="auto"/>
        <w:ind w:right="193"/>
        <w:jc w:val="both"/>
      </w:pPr>
      <w:r>
        <w:lastRenderedPageBreak/>
        <w:t>Código de Conduta Ética e Integridade Profissional;</w:t>
      </w:r>
    </w:p>
    <w:p w:rsidR="003073A4" w:rsidRDefault="000545DD">
      <w:pPr>
        <w:numPr>
          <w:ilvl w:val="0"/>
          <w:numId w:val="4"/>
        </w:numPr>
        <w:spacing w:line="360" w:lineRule="auto"/>
        <w:ind w:right="193"/>
        <w:jc w:val="both"/>
      </w:pPr>
      <w:r>
        <w:t xml:space="preserve">Política de Divulgação de Informações; </w:t>
      </w:r>
    </w:p>
    <w:p w:rsidR="003073A4" w:rsidRDefault="000545DD">
      <w:pPr>
        <w:numPr>
          <w:ilvl w:val="0"/>
          <w:numId w:val="4"/>
        </w:numPr>
        <w:spacing w:line="360" w:lineRule="auto"/>
        <w:ind w:right="193"/>
        <w:jc w:val="both"/>
      </w:pPr>
      <w:r>
        <w:t xml:space="preserve">Política de Transação com partes relacionadas; </w:t>
      </w:r>
    </w:p>
    <w:p w:rsidR="003073A4" w:rsidRDefault="000545DD">
      <w:pPr>
        <w:numPr>
          <w:ilvl w:val="0"/>
          <w:numId w:val="4"/>
        </w:numPr>
        <w:spacing w:line="360" w:lineRule="auto"/>
        <w:ind w:right="193"/>
        <w:jc w:val="both"/>
      </w:pPr>
      <w:r>
        <w:t>Política de Porta Vozes;</w:t>
      </w:r>
    </w:p>
    <w:p w:rsidR="003073A4" w:rsidRDefault="000545DD">
      <w:pPr>
        <w:numPr>
          <w:ilvl w:val="0"/>
          <w:numId w:val="4"/>
        </w:numPr>
        <w:spacing w:line="360" w:lineRule="auto"/>
        <w:ind w:right="193"/>
        <w:jc w:val="both"/>
      </w:pPr>
      <w:r>
        <w:t>Política de Nomeações;</w:t>
      </w:r>
    </w:p>
    <w:p w:rsidR="003073A4" w:rsidRDefault="000545DD">
      <w:pPr>
        <w:numPr>
          <w:ilvl w:val="0"/>
          <w:numId w:val="4"/>
        </w:numPr>
        <w:spacing w:line="360" w:lineRule="auto"/>
        <w:ind w:right="193"/>
        <w:jc w:val="both"/>
      </w:pPr>
      <w:r>
        <w:t>Regulamento Interno de Pessoal;</w:t>
      </w:r>
    </w:p>
    <w:p w:rsidR="003073A4" w:rsidRDefault="000545DD">
      <w:pPr>
        <w:numPr>
          <w:ilvl w:val="0"/>
          <w:numId w:val="4"/>
        </w:numPr>
        <w:spacing w:line="360" w:lineRule="auto"/>
        <w:ind w:right="193"/>
        <w:jc w:val="both"/>
      </w:pPr>
      <w:r>
        <w:t>Regulamento Interno de Licitações e Contratos;</w:t>
      </w:r>
    </w:p>
    <w:p w:rsidR="003073A4" w:rsidRDefault="000545DD">
      <w:pPr>
        <w:spacing w:before="120" w:after="120" w:line="360" w:lineRule="auto"/>
        <w:ind w:right="195"/>
        <w:jc w:val="both"/>
      </w:pPr>
      <w:r>
        <w:t>Em 2025, foram aprovados e/ou atualizados os seguintes normativos:</w:t>
      </w:r>
    </w:p>
    <w:p w:rsidR="003073A4" w:rsidRDefault="000545DD">
      <w:pPr>
        <w:numPr>
          <w:ilvl w:val="0"/>
          <w:numId w:val="5"/>
        </w:numPr>
        <w:spacing w:line="360" w:lineRule="auto"/>
        <w:ind w:right="193"/>
        <w:jc w:val="both"/>
        <w:rPr>
          <w:color w:val="000000"/>
        </w:rPr>
      </w:pPr>
      <w:r>
        <w:rPr>
          <w:color w:val="000000"/>
        </w:rPr>
        <w:t xml:space="preserve">Regimento Interno da Companhia Docas do Ceará; </w:t>
      </w:r>
    </w:p>
    <w:p w:rsidR="003073A4" w:rsidRDefault="000545DD">
      <w:pPr>
        <w:numPr>
          <w:ilvl w:val="0"/>
          <w:numId w:val="5"/>
        </w:numPr>
        <w:spacing w:line="360" w:lineRule="auto"/>
        <w:ind w:right="193"/>
        <w:jc w:val="both"/>
        <w:rPr>
          <w:color w:val="000000"/>
        </w:rPr>
      </w:pPr>
      <w:r>
        <w:rPr>
          <w:color w:val="000000"/>
        </w:rPr>
        <w:t>Política de Sustentabilidade;</w:t>
      </w:r>
    </w:p>
    <w:p w:rsidR="003073A4" w:rsidRDefault="000545DD">
      <w:pPr>
        <w:numPr>
          <w:ilvl w:val="0"/>
          <w:numId w:val="5"/>
        </w:numPr>
        <w:spacing w:line="360" w:lineRule="auto"/>
        <w:ind w:right="193"/>
        <w:jc w:val="both"/>
        <w:rPr>
          <w:color w:val="000000"/>
        </w:rPr>
      </w:pPr>
      <w:r>
        <w:rPr>
          <w:color w:val="000000"/>
        </w:rPr>
        <w:t>Manual de Tratamento de Notificações e Autuações;</w:t>
      </w:r>
    </w:p>
    <w:p w:rsidR="003073A4" w:rsidRDefault="000545DD">
      <w:pPr>
        <w:numPr>
          <w:ilvl w:val="0"/>
          <w:numId w:val="5"/>
        </w:numPr>
        <w:spacing w:line="360" w:lineRule="auto"/>
        <w:ind w:right="193"/>
        <w:jc w:val="both"/>
        <w:rPr>
          <w:color w:val="000000"/>
        </w:rPr>
      </w:pPr>
      <w:r>
        <w:rPr>
          <w:color w:val="000000"/>
        </w:rPr>
        <w:t>Manual de Procedimentos de Monitoramento de Auditoria;</w:t>
      </w:r>
    </w:p>
    <w:p w:rsidR="003073A4" w:rsidRDefault="000545DD">
      <w:pPr>
        <w:numPr>
          <w:ilvl w:val="0"/>
          <w:numId w:val="5"/>
        </w:numPr>
        <w:spacing w:line="360" w:lineRule="auto"/>
        <w:ind w:right="193"/>
        <w:jc w:val="both"/>
        <w:rPr>
          <w:color w:val="000000"/>
        </w:rPr>
      </w:pPr>
      <w:r>
        <w:rPr>
          <w:color w:val="000000"/>
        </w:rPr>
        <w:t>Política de Combate à Mentira Verde;</w:t>
      </w:r>
    </w:p>
    <w:p w:rsidR="003073A4" w:rsidRDefault="000545DD">
      <w:pPr>
        <w:numPr>
          <w:ilvl w:val="0"/>
          <w:numId w:val="5"/>
        </w:numPr>
        <w:spacing w:line="360" w:lineRule="auto"/>
        <w:ind w:right="193"/>
        <w:jc w:val="both"/>
        <w:rPr>
          <w:color w:val="000000"/>
        </w:rPr>
      </w:pPr>
      <w:r>
        <w:rPr>
          <w:color w:val="000000"/>
        </w:rPr>
        <w:t>Norma de Suprimento de Numerário;</w:t>
      </w:r>
    </w:p>
    <w:p w:rsidR="003073A4" w:rsidRDefault="000545DD">
      <w:pPr>
        <w:numPr>
          <w:ilvl w:val="0"/>
          <w:numId w:val="5"/>
        </w:numPr>
        <w:spacing w:line="360" w:lineRule="auto"/>
        <w:ind w:right="193"/>
        <w:jc w:val="both"/>
        <w:rPr>
          <w:color w:val="000000"/>
        </w:rPr>
      </w:pPr>
      <w:r>
        <w:rPr>
          <w:color w:val="000000"/>
        </w:rPr>
        <w:t>Norma de Acordo em Processos Judiciais;</w:t>
      </w:r>
    </w:p>
    <w:p w:rsidR="003073A4" w:rsidRDefault="000545DD">
      <w:pPr>
        <w:numPr>
          <w:ilvl w:val="0"/>
          <w:numId w:val="5"/>
        </w:numPr>
        <w:spacing w:line="360" w:lineRule="auto"/>
        <w:ind w:right="193"/>
        <w:jc w:val="both"/>
        <w:rPr>
          <w:color w:val="000000"/>
        </w:rPr>
      </w:pPr>
      <w:r>
        <w:rPr>
          <w:color w:val="000000"/>
        </w:rPr>
        <w:t>Plano de Cargos Comissionados e de Funções de Confiança;</w:t>
      </w:r>
    </w:p>
    <w:p w:rsidR="003073A4" w:rsidRDefault="000545DD">
      <w:pPr>
        <w:numPr>
          <w:ilvl w:val="0"/>
          <w:numId w:val="5"/>
        </w:numPr>
        <w:spacing w:line="360" w:lineRule="auto"/>
        <w:ind w:right="193"/>
        <w:jc w:val="both"/>
        <w:rPr>
          <w:color w:val="000000"/>
        </w:rPr>
      </w:pPr>
      <w:r>
        <w:rPr>
          <w:color w:val="000000"/>
        </w:rPr>
        <w:t>Programa de Treinamento e Aperfeiçoamento.</w:t>
      </w:r>
    </w:p>
    <w:p w:rsidR="003073A4" w:rsidRDefault="000545DD">
      <w:pPr>
        <w:spacing w:before="120" w:after="120" w:line="360" w:lineRule="auto"/>
        <w:jc w:val="both"/>
      </w:pPr>
      <w:r>
        <w:t>A Companhia conta com várias instâncias internas de Governança, tais como: Conselho de Administração; Conselho Fiscal; Comitê de Auditoria; Comitê de Pessoas, Elegibilidade, Sucessão e Remuneração; Coordenadoria de Controle; Auditoria Interna; Ouvidoria; Coordenadoria de Planejamento Estratégico; Comissão de Ética e de Correição.</w:t>
      </w:r>
    </w:p>
    <w:p w:rsidR="003073A4" w:rsidRDefault="000545DD">
      <w:pPr>
        <w:spacing w:before="120" w:after="120" w:line="360" w:lineRule="auto"/>
        <w:jc w:val="both"/>
        <w:rPr>
          <w:color w:val="000000"/>
        </w:rPr>
      </w:pPr>
      <w:r>
        <w:rPr>
          <w:color w:val="000000"/>
        </w:rPr>
        <w:t xml:space="preserve">A CDC vem, continuamente, aperfeiçoando seu sistema de governança, estando adequado à Lei nº 13.303/2016 e às Resoluções CGPAR. Também vêm sendo adotadas, paulatinamente, boas práticas de governança corporativa que são disseminadas, dentre outros meios, através das Diretrizes da Organização para a Cooperação e Desenvolvimento Econômico (OCDE), melhorando, assim, o nível de governança nos processos da empresa. </w:t>
      </w:r>
    </w:p>
    <w:p w:rsidR="003073A4" w:rsidRDefault="000545DD">
      <w:pPr>
        <w:spacing w:before="120" w:after="120" w:line="360" w:lineRule="auto"/>
        <w:jc w:val="both"/>
        <w:rPr>
          <w:color w:val="000000"/>
        </w:rPr>
      </w:pPr>
      <w:r>
        <w:rPr>
          <w:color w:val="000000"/>
        </w:rPr>
        <w:t xml:space="preserve">O Programa de Integridade da empresa é uma importante ferramenta de governança e visa combate a atos de fraude e corrupção. Através do referido Programa, estão sendo fomentadas ações para </w:t>
      </w:r>
      <w:r>
        <w:rPr>
          <w:color w:val="000000"/>
        </w:rPr>
        <w:lastRenderedPageBreak/>
        <w:t>ressaltar os valores da empresa que, dentre outros, são a Ética, a Transparência e a Integridade.</w:t>
      </w:r>
    </w:p>
    <w:p w:rsidR="003073A4" w:rsidRDefault="000545DD">
      <w:pPr>
        <w:spacing w:before="120" w:after="120" w:line="360" w:lineRule="auto"/>
        <w:jc w:val="both"/>
        <w:rPr>
          <w:color w:val="000000"/>
        </w:rPr>
      </w:pPr>
      <w:r>
        <w:rPr>
          <w:color w:val="000000"/>
        </w:rPr>
        <w:t xml:space="preserve">Maiores detalhamentos podem ser acessados nos Relatórios de integridade disponíveis no sítio eletrônico </w:t>
      </w:r>
      <w:hyperlink r:id="rId31">
        <w:r>
          <w:rPr>
            <w:color w:val="000000"/>
            <w:u w:val="single"/>
          </w:rPr>
          <w:t>http://www.docasdoceara.com.br/integridade</w:t>
        </w:r>
      </w:hyperlink>
      <w:r>
        <w:rPr>
          <w:color w:val="000000"/>
        </w:rPr>
        <w:t>.</w:t>
      </w:r>
    </w:p>
    <w:p w:rsidR="003073A4" w:rsidRDefault="000545DD">
      <w:pPr>
        <w:spacing w:after="120" w:line="360" w:lineRule="auto"/>
        <w:jc w:val="both"/>
      </w:pPr>
      <w:r>
        <w:t>Ainda em 2025, ocorreu o 7º ciclo de avaliação do indicador IG-SEST. Quanto à dimensão de Governança Corporativa, a CDC, alcançou 90,28% das exigências; na dimensão de Políticas Públicas, alcançou 93,33% das exigências; e, na dimensão de Boas Práticas e Inovação, alcançou 53,33% das exigências.</w:t>
      </w:r>
    </w:p>
    <w:p w:rsidR="003073A4" w:rsidRDefault="000545DD">
      <w:pPr>
        <w:spacing w:after="120" w:line="360" w:lineRule="auto"/>
        <w:jc w:val="both"/>
      </w:pPr>
      <w:r>
        <w:t>Denota-se que, na dimensão de Governança Corporativa, a Companhia posicionou-se na faixa de maturidade de Excelência, o que demonstra o comprometimento com a efetividade dos instrumentos de governança, baseada em gestão de riscos, integridade, transparência e conformidade.</w:t>
      </w:r>
    </w:p>
    <w:p w:rsidR="003073A4" w:rsidRDefault="000545DD">
      <w:pPr>
        <w:spacing w:after="120" w:line="360" w:lineRule="auto"/>
        <w:jc w:val="both"/>
      </w:pPr>
      <w:r>
        <w:t>Em 2025, a CDC continuou cumprindo, no site, todos os requisitos de transparência ativa avaliados pela Controladoria Geral da União, tendo permanecido no primeiro lugar no ranking da citada instituição, o que evidencia os esforços da empresa para disponibilizar informações à sociedade, fortalecendo, assim, o controle social.</w:t>
      </w:r>
    </w:p>
    <w:p w:rsidR="003073A4" w:rsidRDefault="000545DD">
      <w:pPr>
        <w:spacing w:after="120" w:line="360" w:lineRule="auto"/>
        <w:jc w:val="both"/>
      </w:pPr>
      <w:r>
        <w:t>Como resultado da dedicação à transparência, a Companhia foi agraciada com selo Prata pelo Programa Nacional de Transparência Pública, da Associação dos Membros dos Tribunais de Contas do Brasil (Atricon).</w:t>
      </w:r>
    </w:p>
    <w:p w:rsidR="003073A4" w:rsidRDefault="000545DD">
      <w:pPr>
        <w:spacing w:after="120" w:line="360" w:lineRule="auto"/>
        <w:jc w:val="both"/>
      </w:pPr>
      <w:r>
        <w:t>Os documentos de governança estão disponíveis no site da Companhia Docas do Ceará.</w:t>
      </w:r>
    </w:p>
    <w:p w:rsidR="00226B9D" w:rsidRDefault="00226B9D">
      <w:pPr>
        <w:spacing w:after="120" w:line="360" w:lineRule="auto"/>
        <w:jc w:val="both"/>
      </w:pPr>
    </w:p>
    <w:p w:rsidR="003073A4" w:rsidRDefault="000545DD">
      <w:pPr>
        <w:numPr>
          <w:ilvl w:val="1"/>
          <w:numId w:val="9"/>
        </w:numPr>
        <w:pBdr>
          <w:top w:val="nil"/>
          <w:left w:val="nil"/>
          <w:bottom w:val="nil"/>
          <w:right w:val="nil"/>
          <w:between w:val="nil"/>
        </w:pBdr>
        <w:spacing w:before="120" w:after="120"/>
        <w:jc w:val="both"/>
        <w:rPr>
          <w:b/>
          <w:bCs/>
          <w:color w:val="000000"/>
          <w:sz w:val="32"/>
          <w:szCs w:val="32"/>
        </w:rPr>
      </w:pPr>
      <w:r>
        <w:rPr>
          <w:b/>
          <w:bCs/>
          <w:color w:val="000000"/>
          <w:sz w:val="32"/>
          <w:szCs w:val="32"/>
        </w:rPr>
        <w:t>Descrição da composição e da remuneração da administração</w:t>
      </w:r>
    </w:p>
    <w:p w:rsidR="003073A4" w:rsidRDefault="003073A4">
      <w:pPr>
        <w:pBdr>
          <w:top w:val="nil"/>
          <w:left w:val="nil"/>
          <w:bottom w:val="nil"/>
          <w:right w:val="nil"/>
          <w:between w:val="nil"/>
        </w:pBdr>
        <w:spacing w:before="120" w:after="120"/>
        <w:ind w:left="709" w:hanging="709"/>
        <w:jc w:val="both"/>
        <w:rPr>
          <w:b/>
          <w:bCs/>
          <w:color w:val="FF0000"/>
          <w:sz w:val="32"/>
          <w:szCs w:val="32"/>
        </w:rPr>
      </w:pPr>
    </w:p>
    <w:p w:rsidR="003073A4" w:rsidRDefault="000545DD">
      <w:pPr>
        <w:pBdr>
          <w:top w:val="nil"/>
          <w:left w:val="nil"/>
          <w:bottom w:val="nil"/>
          <w:right w:val="nil"/>
          <w:between w:val="nil"/>
        </w:pBdr>
        <w:spacing w:before="120" w:after="120" w:line="360" w:lineRule="auto"/>
        <w:jc w:val="both"/>
        <w:rPr>
          <w:color w:val="000000"/>
        </w:rPr>
      </w:pPr>
      <w:r>
        <w:rPr>
          <w:color w:val="000000"/>
        </w:rPr>
        <w:t>Conforme disposto no Estatuto Social da CDC, em seu art. 33, compete à Assembleia Geral fixar a remuneração dos membros Estatutários e, quando aplicável, dos demais comitês de assessoramento, nos termos da legislação vigente, sendo vedado o pagamento de qualquer forma de remuneração não prevista em Assembleia Geral.</w:t>
      </w:r>
    </w:p>
    <w:p w:rsidR="003073A4" w:rsidRDefault="000545DD">
      <w:pPr>
        <w:pBdr>
          <w:top w:val="nil"/>
          <w:left w:val="nil"/>
          <w:bottom w:val="nil"/>
          <w:right w:val="nil"/>
          <w:between w:val="nil"/>
        </w:pBdr>
        <w:spacing w:before="120" w:after="120" w:line="360" w:lineRule="auto"/>
        <w:jc w:val="both"/>
        <w:rPr>
          <w:color w:val="000000"/>
        </w:rPr>
      </w:pPr>
      <w:r>
        <w:rPr>
          <w:color w:val="000000"/>
        </w:rPr>
        <w:t>A remuneração total engloba remuneração fixa, remuneração variável e benefícios, aprovados previamente pela Secretaria de Coordenação e Governança das Empresas Estatais (SEST), vinculada ao Ministério da Gestão e da Inovação em Serviços Públicos (MGI).</w:t>
      </w:r>
    </w:p>
    <w:p w:rsidR="003073A4" w:rsidRDefault="000545DD">
      <w:pPr>
        <w:pBdr>
          <w:top w:val="nil"/>
          <w:left w:val="nil"/>
          <w:bottom w:val="nil"/>
          <w:right w:val="nil"/>
          <w:between w:val="nil"/>
        </w:pBdr>
        <w:spacing w:before="120" w:after="120" w:line="360" w:lineRule="auto"/>
        <w:jc w:val="both"/>
        <w:rPr>
          <w:color w:val="000000"/>
        </w:rPr>
      </w:pPr>
      <w:r>
        <w:rPr>
          <w:color w:val="000000"/>
        </w:rPr>
        <w:t xml:space="preserve">A Companhia adota o Honorário Variável Mensal (HVM), parcela do honorário mensal paga por </w:t>
      </w:r>
      <w:r>
        <w:rPr>
          <w:color w:val="000000"/>
        </w:rPr>
        <w:lastRenderedPageBreak/>
        <w:t xml:space="preserve">trimestre. O HVM é ponderado pelo cumprimento das metas pela Diretoria Executiva, estabelecidas pela Secretaria Nacional de Portos (SNP). </w:t>
      </w:r>
    </w:p>
    <w:p w:rsidR="003073A4" w:rsidRDefault="000545DD">
      <w:pPr>
        <w:pBdr>
          <w:top w:val="nil"/>
          <w:left w:val="nil"/>
          <w:bottom w:val="nil"/>
          <w:right w:val="nil"/>
          <w:between w:val="nil"/>
        </w:pBdr>
        <w:spacing w:before="120" w:after="120" w:line="360" w:lineRule="auto"/>
        <w:jc w:val="both"/>
        <w:rPr>
          <w:color w:val="000000"/>
        </w:rPr>
      </w:pPr>
      <w:r>
        <w:rPr>
          <w:color w:val="000000"/>
        </w:rPr>
        <w:t>A Companhia dá publicidade da remuneração de seus dirigentes no site da CDC.</w:t>
      </w:r>
    </w:p>
    <w:p w:rsidR="003073A4" w:rsidRDefault="003073A4">
      <w:pPr>
        <w:pBdr>
          <w:top w:val="nil"/>
          <w:left w:val="nil"/>
          <w:bottom w:val="nil"/>
          <w:right w:val="nil"/>
          <w:between w:val="nil"/>
        </w:pBdr>
        <w:spacing w:before="120" w:after="120"/>
        <w:ind w:left="709" w:hanging="709"/>
        <w:jc w:val="both"/>
        <w:rPr>
          <w:color w:val="FF0000"/>
          <w:sz w:val="10"/>
          <w:szCs w:val="10"/>
        </w:rPr>
      </w:pPr>
    </w:p>
    <w:p w:rsidR="003073A4" w:rsidRDefault="000545DD">
      <w:pPr>
        <w:pBdr>
          <w:top w:val="nil"/>
          <w:left w:val="nil"/>
          <w:bottom w:val="nil"/>
          <w:right w:val="nil"/>
          <w:between w:val="nil"/>
        </w:pBdr>
        <w:spacing w:before="120" w:after="120"/>
        <w:ind w:left="709" w:hanging="709"/>
        <w:jc w:val="both"/>
        <w:rPr>
          <w:color w:val="000000"/>
          <w:sz w:val="32"/>
          <w:szCs w:val="32"/>
        </w:rPr>
      </w:pPr>
      <w:r>
        <w:rPr>
          <w:color w:val="000000"/>
          <w:sz w:val="18"/>
          <w:szCs w:val="18"/>
        </w:rPr>
        <w:t xml:space="preserve">Tabela 17 - Remuneração dos Administradores e </w:t>
      </w:r>
      <w:r w:rsidR="00863BFB">
        <w:rPr>
          <w:color w:val="000000"/>
          <w:sz w:val="18"/>
          <w:szCs w:val="18"/>
        </w:rPr>
        <w:t xml:space="preserve">membros do </w:t>
      </w:r>
      <w:r>
        <w:rPr>
          <w:color w:val="000000"/>
          <w:sz w:val="18"/>
          <w:szCs w:val="18"/>
        </w:rPr>
        <w:t>Conselh</w:t>
      </w:r>
      <w:r w:rsidR="00863BFB">
        <w:rPr>
          <w:color w:val="000000"/>
          <w:sz w:val="18"/>
          <w:szCs w:val="18"/>
        </w:rPr>
        <w:t>o</w:t>
      </w:r>
      <w:r>
        <w:rPr>
          <w:color w:val="000000"/>
          <w:sz w:val="18"/>
          <w:szCs w:val="18"/>
        </w:rPr>
        <w:t xml:space="preserve"> Fisca</w:t>
      </w:r>
      <w:r w:rsidR="00863BFB">
        <w:rPr>
          <w:color w:val="000000"/>
          <w:sz w:val="18"/>
          <w:szCs w:val="18"/>
        </w:rPr>
        <w:t>l e do Comitê de Auditoria</w:t>
      </w:r>
    </w:p>
    <w:tbl>
      <w:tblPr>
        <w:tblStyle w:val="af3"/>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15"/>
        <w:gridCol w:w="1115"/>
        <w:gridCol w:w="1115"/>
        <w:gridCol w:w="1115"/>
        <w:gridCol w:w="990"/>
        <w:gridCol w:w="865"/>
        <w:gridCol w:w="1049"/>
      </w:tblGrid>
      <w:tr w:rsidR="003073A4">
        <w:trPr>
          <w:trHeight w:val="288"/>
        </w:trPr>
        <w:tc>
          <w:tcPr>
            <w:tcW w:w="8920" w:type="dxa"/>
            <w:gridSpan w:val="8"/>
            <w:shd w:val="clear" w:color="auto" w:fill="203764"/>
            <w:vAlign w:val="center"/>
          </w:tcPr>
          <w:p w:rsidR="003073A4" w:rsidRDefault="000545DD">
            <w:pPr>
              <w:jc w:val="center"/>
              <w:rPr>
                <w:b/>
                <w:bCs/>
                <w:color w:val="FFFFFF"/>
                <w:sz w:val="18"/>
                <w:szCs w:val="18"/>
              </w:rPr>
            </w:pPr>
            <w:r>
              <w:rPr>
                <w:b/>
                <w:bCs/>
                <w:color w:val="FFFFFF"/>
                <w:sz w:val="18"/>
                <w:szCs w:val="18"/>
              </w:rPr>
              <w:t>REMUNERAÇÃO DOS ADMINISTRADORES, CONSELHEIROS FISCAIS E COMITÊ DE AUDITORIA</w:t>
            </w:r>
          </w:p>
        </w:tc>
      </w:tr>
      <w:tr w:rsidR="003073A4">
        <w:trPr>
          <w:trHeight w:val="332"/>
        </w:trPr>
        <w:tc>
          <w:tcPr>
            <w:tcW w:w="8920" w:type="dxa"/>
            <w:gridSpan w:val="8"/>
            <w:shd w:val="clear" w:color="auto" w:fill="203764"/>
            <w:vAlign w:val="center"/>
          </w:tcPr>
          <w:p w:rsidR="003073A4" w:rsidRDefault="000545DD">
            <w:pPr>
              <w:jc w:val="center"/>
              <w:rPr>
                <w:b/>
                <w:bCs/>
                <w:color w:val="FFFFFF"/>
                <w:sz w:val="18"/>
                <w:szCs w:val="18"/>
              </w:rPr>
            </w:pPr>
            <w:r>
              <w:rPr>
                <w:b/>
                <w:bCs/>
                <w:color w:val="FFFFFF"/>
                <w:sz w:val="18"/>
                <w:szCs w:val="18"/>
              </w:rPr>
              <w:t>Valores realizados no período  de abril/2025 a mar/2026 conforme aprovados em Assembleia Geral</w:t>
            </w:r>
          </w:p>
        </w:tc>
      </w:tr>
      <w:tr w:rsidR="003073A4">
        <w:trPr>
          <w:trHeight w:val="315"/>
        </w:trPr>
        <w:tc>
          <w:tcPr>
            <w:tcW w:w="8920" w:type="dxa"/>
            <w:gridSpan w:val="8"/>
            <w:shd w:val="clear" w:color="auto" w:fill="203764"/>
            <w:vAlign w:val="center"/>
          </w:tcPr>
          <w:p w:rsidR="003073A4" w:rsidRDefault="000545DD">
            <w:pPr>
              <w:jc w:val="center"/>
              <w:rPr>
                <w:b/>
                <w:bCs/>
                <w:color w:val="FFFFFF"/>
                <w:sz w:val="18"/>
                <w:szCs w:val="18"/>
              </w:rPr>
            </w:pPr>
            <w:r>
              <w:rPr>
                <w:b/>
                <w:bCs/>
                <w:color w:val="FFFFFF"/>
                <w:sz w:val="18"/>
                <w:szCs w:val="18"/>
              </w:rPr>
              <w:t>DIRETORIA EXECUTIVA</w:t>
            </w:r>
          </w:p>
        </w:tc>
      </w:tr>
      <w:tr w:rsidR="003073A4">
        <w:trPr>
          <w:trHeight w:val="495"/>
        </w:trPr>
        <w:tc>
          <w:tcPr>
            <w:tcW w:w="2671" w:type="dxa"/>
            <w:gridSpan w:val="2"/>
            <w:shd w:val="clear" w:color="auto" w:fill="44536A"/>
            <w:vAlign w:val="center"/>
          </w:tcPr>
          <w:p w:rsidR="003073A4" w:rsidRDefault="000545DD">
            <w:pPr>
              <w:jc w:val="center"/>
              <w:rPr>
                <w:b/>
                <w:bCs/>
                <w:color w:val="FF0000"/>
                <w:sz w:val="18"/>
                <w:szCs w:val="18"/>
              </w:rPr>
            </w:pPr>
            <w:r>
              <w:rPr>
                <w:b/>
                <w:bCs/>
                <w:color w:val="FF0000"/>
                <w:sz w:val="18"/>
                <w:szCs w:val="18"/>
              </w:rPr>
              <w:t> </w:t>
            </w:r>
          </w:p>
        </w:tc>
        <w:tc>
          <w:tcPr>
            <w:tcW w:w="1115" w:type="dxa"/>
            <w:shd w:val="clear" w:color="auto" w:fill="44536A"/>
            <w:vAlign w:val="center"/>
          </w:tcPr>
          <w:p w:rsidR="003073A4" w:rsidRDefault="000545DD">
            <w:pPr>
              <w:jc w:val="center"/>
              <w:rPr>
                <w:b/>
                <w:bCs/>
                <w:color w:val="FFFFFF"/>
                <w:sz w:val="16"/>
                <w:szCs w:val="16"/>
              </w:rPr>
            </w:pPr>
            <w:r>
              <w:rPr>
                <w:b/>
                <w:bCs/>
                <w:color w:val="FFFFFF"/>
                <w:sz w:val="16"/>
                <w:szCs w:val="16"/>
              </w:rPr>
              <w:t>Remuneração fixa (R$)</w:t>
            </w:r>
          </w:p>
        </w:tc>
        <w:tc>
          <w:tcPr>
            <w:tcW w:w="1115" w:type="dxa"/>
            <w:shd w:val="clear" w:color="auto" w:fill="44536A"/>
            <w:vAlign w:val="center"/>
          </w:tcPr>
          <w:p w:rsidR="003073A4" w:rsidRDefault="000545DD">
            <w:pPr>
              <w:jc w:val="center"/>
              <w:rPr>
                <w:b/>
                <w:bCs/>
                <w:color w:val="FFFFFF"/>
                <w:sz w:val="16"/>
                <w:szCs w:val="16"/>
              </w:rPr>
            </w:pPr>
            <w:r>
              <w:rPr>
                <w:b/>
                <w:bCs/>
                <w:color w:val="FFFFFF"/>
                <w:sz w:val="16"/>
                <w:szCs w:val="16"/>
              </w:rPr>
              <w:t>Remuneração Variável (R$)</w:t>
            </w:r>
          </w:p>
        </w:tc>
        <w:tc>
          <w:tcPr>
            <w:tcW w:w="1115" w:type="dxa"/>
            <w:shd w:val="clear" w:color="auto" w:fill="44536A"/>
            <w:vAlign w:val="center"/>
          </w:tcPr>
          <w:p w:rsidR="003073A4" w:rsidRDefault="000545DD">
            <w:pPr>
              <w:jc w:val="center"/>
              <w:rPr>
                <w:b/>
                <w:bCs/>
                <w:color w:val="FFFFFF"/>
                <w:sz w:val="16"/>
                <w:szCs w:val="16"/>
              </w:rPr>
            </w:pPr>
            <w:r>
              <w:rPr>
                <w:b/>
                <w:bCs/>
                <w:color w:val="FFFFFF"/>
                <w:sz w:val="16"/>
                <w:szCs w:val="16"/>
              </w:rPr>
              <w:t>Gratificação de Férias (R$)</w:t>
            </w:r>
          </w:p>
        </w:tc>
        <w:tc>
          <w:tcPr>
            <w:tcW w:w="990" w:type="dxa"/>
            <w:shd w:val="clear" w:color="auto" w:fill="44536A"/>
            <w:vAlign w:val="center"/>
          </w:tcPr>
          <w:p w:rsidR="003073A4" w:rsidRDefault="000545DD">
            <w:pPr>
              <w:jc w:val="center"/>
              <w:rPr>
                <w:b/>
                <w:bCs/>
                <w:color w:val="FFFFFF"/>
                <w:sz w:val="16"/>
                <w:szCs w:val="16"/>
              </w:rPr>
            </w:pPr>
            <w:r>
              <w:rPr>
                <w:b/>
                <w:bCs/>
                <w:color w:val="FFFFFF"/>
                <w:sz w:val="16"/>
                <w:szCs w:val="16"/>
              </w:rPr>
              <w:t>Gratificação Natalina (R$)</w:t>
            </w:r>
          </w:p>
        </w:tc>
        <w:tc>
          <w:tcPr>
            <w:tcW w:w="865" w:type="dxa"/>
            <w:shd w:val="clear" w:color="auto" w:fill="44536A"/>
            <w:vAlign w:val="center"/>
          </w:tcPr>
          <w:p w:rsidR="003073A4" w:rsidRDefault="000545DD">
            <w:pPr>
              <w:jc w:val="center"/>
              <w:rPr>
                <w:b/>
                <w:bCs/>
                <w:color w:val="FFFFFF"/>
                <w:sz w:val="16"/>
                <w:szCs w:val="16"/>
              </w:rPr>
            </w:pPr>
            <w:r>
              <w:rPr>
                <w:b/>
                <w:bCs/>
                <w:color w:val="FFFFFF"/>
                <w:sz w:val="16"/>
                <w:szCs w:val="16"/>
              </w:rPr>
              <w:t>Benefícios (R$)</w:t>
            </w:r>
          </w:p>
        </w:tc>
        <w:tc>
          <w:tcPr>
            <w:tcW w:w="1049" w:type="dxa"/>
            <w:shd w:val="clear" w:color="auto" w:fill="44536A"/>
            <w:vAlign w:val="center"/>
          </w:tcPr>
          <w:p w:rsidR="003073A4" w:rsidRDefault="000545DD">
            <w:pPr>
              <w:jc w:val="center"/>
              <w:rPr>
                <w:b/>
                <w:bCs/>
                <w:color w:val="FFFFFF"/>
                <w:sz w:val="16"/>
                <w:szCs w:val="16"/>
              </w:rPr>
            </w:pPr>
            <w:r>
              <w:rPr>
                <w:b/>
                <w:bCs/>
                <w:color w:val="FFFFFF"/>
                <w:sz w:val="16"/>
                <w:szCs w:val="16"/>
              </w:rPr>
              <w:t>Quarentena (R$)</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Lucio Ferreira Gomes</w:t>
            </w:r>
          </w:p>
        </w:tc>
        <w:tc>
          <w:tcPr>
            <w:tcW w:w="1315" w:type="dxa"/>
            <w:shd w:val="clear" w:color="auto" w:fill="8496AF"/>
            <w:vAlign w:val="center"/>
          </w:tcPr>
          <w:p w:rsidR="003073A4" w:rsidRDefault="000545DD">
            <w:pPr>
              <w:jc w:val="center"/>
              <w:rPr>
                <w:b/>
                <w:bCs/>
                <w:sz w:val="19"/>
                <w:szCs w:val="19"/>
              </w:rPr>
            </w:pPr>
            <w:r>
              <w:rPr>
                <w:b/>
                <w:bCs/>
                <w:sz w:val="19"/>
                <w:szCs w:val="19"/>
              </w:rPr>
              <w:t>Presidente</w:t>
            </w:r>
          </w:p>
        </w:tc>
        <w:tc>
          <w:tcPr>
            <w:tcW w:w="1115" w:type="dxa"/>
            <w:shd w:val="clear" w:color="auto" w:fill="BEBEBE"/>
            <w:vAlign w:val="center"/>
          </w:tcPr>
          <w:p w:rsidR="003073A4" w:rsidRDefault="000545DD">
            <w:pPr>
              <w:jc w:val="center"/>
              <w:rPr>
                <w:sz w:val="16"/>
                <w:szCs w:val="16"/>
              </w:rPr>
            </w:pPr>
            <w:r>
              <w:rPr>
                <w:sz w:val="16"/>
                <w:szCs w:val="16"/>
              </w:rPr>
              <w:t>272.615,96</w:t>
            </w:r>
          </w:p>
        </w:tc>
        <w:tc>
          <w:tcPr>
            <w:tcW w:w="1115" w:type="dxa"/>
            <w:shd w:val="clear" w:color="auto" w:fill="BEBEBE"/>
            <w:vAlign w:val="center"/>
          </w:tcPr>
          <w:p w:rsidR="003073A4" w:rsidRDefault="000545DD">
            <w:pPr>
              <w:jc w:val="center"/>
              <w:rPr>
                <w:sz w:val="16"/>
                <w:szCs w:val="16"/>
              </w:rPr>
            </w:pPr>
            <w:r>
              <w:rPr>
                <w:sz w:val="16"/>
                <w:szCs w:val="16"/>
              </w:rPr>
              <w:t>82.180,92</w:t>
            </w:r>
          </w:p>
        </w:tc>
        <w:tc>
          <w:tcPr>
            <w:tcW w:w="1115" w:type="dxa"/>
            <w:shd w:val="clear" w:color="auto" w:fill="BEBEBE"/>
            <w:vAlign w:val="center"/>
          </w:tcPr>
          <w:p w:rsidR="003073A4" w:rsidRDefault="000545DD">
            <w:pPr>
              <w:jc w:val="center"/>
              <w:rPr>
                <w:sz w:val="16"/>
                <w:szCs w:val="16"/>
              </w:rPr>
            </w:pPr>
            <w:r>
              <w:rPr>
                <w:sz w:val="16"/>
                <w:szCs w:val="16"/>
              </w:rPr>
              <w:t>9.767,87</w:t>
            </w:r>
          </w:p>
        </w:tc>
        <w:tc>
          <w:tcPr>
            <w:tcW w:w="990" w:type="dxa"/>
            <w:shd w:val="clear" w:color="auto" w:fill="BEBEBE"/>
            <w:vAlign w:val="center"/>
          </w:tcPr>
          <w:p w:rsidR="003073A4" w:rsidRDefault="000545DD">
            <w:pPr>
              <w:jc w:val="center"/>
              <w:rPr>
                <w:sz w:val="16"/>
                <w:szCs w:val="16"/>
              </w:rPr>
            </w:pPr>
            <w:r>
              <w:rPr>
                <w:sz w:val="16"/>
                <w:szCs w:val="16"/>
              </w:rPr>
              <w:t>29.448,15</w:t>
            </w:r>
          </w:p>
        </w:tc>
        <w:tc>
          <w:tcPr>
            <w:tcW w:w="865" w:type="dxa"/>
            <w:shd w:val="clear" w:color="auto" w:fill="BEBEBE"/>
            <w:vAlign w:val="center"/>
          </w:tcPr>
          <w:p w:rsidR="003073A4" w:rsidRDefault="000545DD">
            <w:pPr>
              <w:jc w:val="center"/>
              <w:rPr>
                <w:sz w:val="16"/>
                <w:szCs w:val="16"/>
              </w:rPr>
            </w:pPr>
            <w:r>
              <w:rPr>
                <w:sz w:val="16"/>
                <w:szCs w:val="16"/>
              </w:rPr>
              <w:t>23.678,57</w:t>
            </w:r>
          </w:p>
        </w:tc>
        <w:tc>
          <w:tcPr>
            <w:tcW w:w="1049" w:type="dxa"/>
            <w:shd w:val="clear" w:color="auto" w:fill="BEBEBE"/>
            <w:vAlign w:val="center"/>
          </w:tcPr>
          <w:p w:rsidR="003073A4" w:rsidRDefault="000545DD">
            <w:pPr>
              <w:jc w:val="center"/>
              <w:rPr>
                <w:sz w:val="16"/>
                <w:szCs w:val="16"/>
              </w:rPr>
            </w:pPr>
            <w:r>
              <w:rPr>
                <w:sz w:val="16"/>
                <w:szCs w:val="16"/>
              </w:rPr>
              <w:t>-</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Urbano Costa Lima Filho</w:t>
            </w:r>
          </w:p>
        </w:tc>
        <w:tc>
          <w:tcPr>
            <w:tcW w:w="1315" w:type="dxa"/>
            <w:shd w:val="clear" w:color="auto" w:fill="8496AF"/>
            <w:vAlign w:val="center"/>
          </w:tcPr>
          <w:p w:rsidR="003073A4" w:rsidRDefault="000545DD">
            <w:pPr>
              <w:jc w:val="center"/>
              <w:rPr>
                <w:b/>
                <w:bCs/>
                <w:sz w:val="19"/>
                <w:szCs w:val="19"/>
              </w:rPr>
            </w:pPr>
            <w:r>
              <w:rPr>
                <w:b/>
                <w:bCs/>
                <w:sz w:val="19"/>
                <w:szCs w:val="19"/>
              </w:rPr>
              <w:t>Diretor de Infraestrutura</w:t>
            </w:r>
          </w:p>
        </w:tc>
        <w:tc>
          <w:tcPr>
            <w:tcW w:w="1115" w:type="dxa"/>
            <w:shd w:val="clear" w:color="auto" w:fill="BEBEBE"/>
            <w:vAlign w:val="center"/>
          </w:tcPr>
          <w:p w:rsidR="003073A4" w:rsidRDefault="000545DD">
            <w:pPr>
              <w:jc w:val="center"/>
              <w:rPr>
                <w:sz w:val="16"/>
                <w:szCs w:val="16"/>
              </w:rPr>
            </w:pPr>
            <w:r>
              <w:rPr>
                <w:sz w:val="16"/>
                <w:szCs w:val="16"/>
              </w:rPr>
              <w:t>256.576,68</w:t>
            </w:r>
          </w:p>
        </w:tc>
        <w:tc>
          <w:tcPr>
            <w:tcW w:w="1115" w:type="dxa"/>
            <w:shd w:val="clear" w:color="auto" w:fill="BEBEBE"/>
            <w:vAlign w:val="center"/>
          </w:tcPr>
          <w:p w:rsidR="003073A4" w:rsidRDefault="000545DD">
            <w:pPr>
              <w:jc w:val="center"/>
              <w:rPr>
                <w:sz w:val="16"/>
                <w:szCs w:val="16"/>
              </w:rPr>
            </w:pPr>
            <w:r>
              <w:rPr>
                <w:sz w:val="16"/>
                <w:szCs w:val="16"/>
              </w:rPr>
              <w:t>77.346,72</w:t>
            </w:r>
          </w:p>
        </w:tc>
        <w:tc>
          <w:tcPr>
            <w:tcW w:w="1115" w:type="dxa"/>
            <w:shd w:val="clear" w:color="auto" w:fill="BEBEBE"/>
            <w:vAlign w:val="center"/>
          </w:tcPr>
          <w:p w:rsidR="003073A4" w:rsidRDefault="000545DD">
            <w:pPr>
              <w:jc w:val="center"/>
              <w:rPr>
                <w:sz w:val="16"/>
                <w:szCs w:val="16"/>
              </w:rPr>
            </w:pPr>
            <w:r>
              <w:rPr>
                <w:sz w:val="16"/>
                <w:szCs w:val="16"/>
              </w:rPr>
              <w:t>9.185,04</w:t>
            </w:r>
          </w:p>
        </w:tc>
        <w:tc>
          <w:tcPr>
            <w:tcW w:w="990" w:type="dxa"/>
            <w:shd w:val="clear" w:color="auto" w:fill="BEBEBE"/>
            <w:vAlign w:val="center"/>
          </w:tcPr>
          <w:p w:rsidR="003073A4" w:rsidRDefault="000545DD">
            <w:pPr>
              <w:jc w:val="center"/>
              <w:rPr>
                <w:color w:val="FF0000"/>
                <w:sz w:val="16"/>
                <w:szCs w:val="16"/>
              </w:rPr>
            </w:pPr>
            <w:r>
              <w:rPr>
                <w:sz w:val="16"/>
                <w:szCs w:val="16"/>
              </w:rPr>
              <w:t>27.715,91</w:t>
            </w:r>
          </w:p>
        </w:tc>
        <w:tc>
          <w:tcPr>
            <w:tcW w:w="865" w:type="dxa"/>
            <w:shd w:val="clear" w:color="auto" w:fill="BEBEBE"/>
            <w:vAlign w:val="center"/>
          </w:tcPr>
          <w:p w:rsidR="003073A4" w:rsidRDefault="000545DD">
            <w:pPr>
              <w:jc w:val="center"/>
              <w:rPr>
                <w:sz w:val="16"/>
                <w:szCs w:val="16"/>
              </w:rPr>
            </w:pPr>
            <w:r>
              <w:rPr>
                <w:sz w:val="16"/>
                <w:szCs w:val="16"/>
              </w:rPr>
              <w:t>23.678,57</w:t>
            </w:r>
          </w:p>
        </w:tc>
        <w:tc>
          <w:tcPr>
            <w:tcW w:w="1049" w:type="dxa"/>
            <w:shd w:val="clear" w:color="auto" w:fill="BEBEBE"/>
            <w:vAlign w:val="center"/>
          </w:tcPr>
          <w:p w:rsidR="003073A4" w:rsidRDefault="000545DD">
            <w:pPr>
              <w:jc w:val="center"/>
              <w:rPr>
                <w:sz w:val="16"/>
                <w:szCs w:val="16"/>
              </w:rPr>
            </w:pPr>
            <w:r>
              <w:rPr>
                <w:sz w:val="16"/>
                <w:szCs w:val="16"/>
              </w:rPr>
              <w:t>-</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Ivo Novais Dias Montenegro</w:t>
            </w:r>
          </w:p>
        </w:tc>
        <w:tc>
          <w:tcPr>
            <w:tcW w:w="1315" w:type="dxa"/>
            <w:shd w:val="clear" w:color="auto" w:fill="8496AF"/>
            <w:vAlign w:val="center"/>
          </w:tcPr>
          <w:p w:rsidR="003073A4" w:rsidRDefault="000545DD">
            <w:pPr>
              <w:jc w:val="center"/>
              <w:rPr>
                <w:b/>
                <w:bCs/>
                <w:sz w:val="19"/>
                <w:szCs w:val="19"/>
              </w:rPr>
            </w:pPr>
            <w:r>
              <w:rPr>
                <w:b/>
                <w:bCs/>
                <w:sz w:val="19"/>
                <w:szCs w:val="19"/>
              </w:rPr>
              <w:t>Diretor Adm. e Financeiro</w:t>
            </w:r>
          </w:p>
        </w:tc>
        <w:tc>
          <w:tcPr>
            <w:tcW w:w="1115" w:type="dxa"/>
            <w:shd w:val="clear" w:color="auto" w:fill="BEBEBE"/>
            <w:vAlign w:val="center"/>
          </w:tcPr>
          <w:p w:rsidR="003073A4" w:rsidRDefault="000545DD">
            <w:pPr>
              <w:jc w:val="center"/>
              <w:rPr>
                <w:sz w:val="16"/>
                <w:szCs w:val="16"/>
              </w:rPr>
            </w:pPr>
            <w:r>
              <w:rPr>
                <w:sz w:val="16"/>
                <w:szCs w:val="16"/>
              </w:rPr>
              <w:t>256.576,68</w:t>
            </w:r>
          </w:p>
        </w:tc>
        <w:tc>
          <w:tcPr>
            <w:tcW w:w="1115" w:type="dxa"/>
            <w:shd w:val="clear" w:color="auto" w:fill="BEBEBE"/>
            <w:vAlign w:val="center"/>
          </w:tcPr>
          <w:p w:rsidR="003073A4" w:rsidRDefault="000545DD">
            <w:pPr>
              <w:jc w:val="center"/>
              <w:rPr>
                <w:sz w:val="16"/>
                <w:szCs w:val="16"/>
              </w:rPr>
            </w:pPr>
            <w:r>
              <w:rPr>
                <w:sz w:val="16"/>
                <w:szCs w:val="16"/>
              </w:rPr>
              <w:t>77.346,72</w:t>
            </w:r>
          </w:p>
        </w:tc>
        <w:tc>
          <w:tcPr>
            <w:tcW w:w="1115" w:type="dxa"/>
            <w:shd w:val="clear" w:color="auto" w:fill="BEBEBE"/>
            <w:vAlign w:val="center"/>
          </w:tcPr>
          <w:p w:rsidR="003073A4" w:rsidRDefault="000545DD">
            <w:pPr>
              <w:jc w:val="center"/>
              <w:rPr>
                <w:sz w:val="16"/>
                <w:szCs w:val="16"/>
              </w:rPr>
            </w:pPr>
            <w:r>
              <w:rPr>
                <w:sz w:val="16"/>
                <w:szCs w:val="16"/>
              </w:rPr>
              <w:t>9.185,04</w:t>
            </w:r>
          </w:p>
        </w:tc>
        <w:tc>
          <w:tcPr>
            <w:tcW w:w="990" w:type="dxa"/>
            <w:shd w:val="clear" w:color="auto" w:fill="BEBEBE"/>
            <w:vAlign w:val="center"/>
          </w:tcPr>
          <w:p w:rsidR="003073A4" w:rsidRDefault="000545DD">
            <w:pPr>
              <w:jc w:val="center"/>
              <w:rPr>
                <w:sz w:val="16"/>
                <w:szCs w:val="16"/>
              </w:rPr>
            </w:pPr>
            <w:r>
              <w:rPr>
                <w:sz w:val="16"/>
                <w:szCs w:val="16"/>
              </w:rPr>
              <w:t>27.715,91</w:t>
            </w:r>
          </w:p>
        </w:tc>
        <w:tc>
          <w:tcPr>
            <w:tcW w:w="865" w:type="dxa"/>
            <w:shd w:val="clear" w:color="auto" w:fill="BEBEBE"/>
            <w:vAlign w:val="center"/>
          </w:tcPr>
          <w:p w:rsidR="003073A4" w:rsidRDefault="000545DD">
            <w:pPr>
              <w:jc w:val="center"/>
              <w:rPr>
                <w:sz w:val="16"/>
                <w:szCs w:val="16"/>
              </w:rPr>
            </w:pPr>
            <w:r>
              <w:rPr>
                <w:sz w:val="16"/>
                <w:szCs w:val="16"/>
              </w:rPr>
              <w:t>23.678,57</w:t>
            </w:r>
          </w:p>
        </w:tc>
        <w:tc>
          <w:tcPr>
            <w:tcW w:w="1049" w:type="dxa"/>
            <w:shd w:val="clear" w:color="auto" w:fill="BEBEBE"/>
            <w:vAlign w:val="center"/>
          </w:tcPr>
          <w:p w:rsidR="003073A4" w:rsidRDefault="000545DD">
            <w:pPr>
              <w:jc w:val="center"/>
              <w:rPr>
                <w:sz w:val="16"/>
                <w:szCs w:val="16"/>
              </w:rPr>
            </w:pPr>
            <w:r>
              <w:rPr>
                <w:sz w:val="16"/>
                <w:szCs w:val="16"/>
              </w:rPr>
              <w:t>-</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José Pereira Campos Junior</w:t>
            </w:r>
          </w:p>
        </w:tc>
        <w:tc>
          <w:tcPr>
            <w:tcW w:w="1315" w:type="dxa"/>
            <w:shd w:val="clear" w:color="auto" w:fill="8496AF"/>
            <w:vAlign w:val="center"/>
          </w:tcPr>
          <w:p w:rsidR="003073A4" w:rsidRDefault="000545DD">
            <w:pPr>
              <w:jc w:val="center"/>
              <w:rPr>
                <w:b/>
                <w:bCs/>
                <w:sz w:val="19"/>
                <w:szCs w:val="19"/>
              </w:rPr>
            </w:pPr>
            <w:r>
              <w:rPr>
                <w:b/>
                <w:bCs/>
                <w:sz w:val="19"/>
                <w:szCs w:val="19"/>
              </w:rPr>
              <w:t>Diretor Comercial</w:t>
            </w:r>
          </w:p>
        </w:tc>
        <w:tc>
          <w:tcPr>
            <w:tcW w:w="1115" w:type="dxa"/>
            <w:shd w:val="clear" w:color="auto" w:fill="BEBEBE"/>
            <w:vAlign w:val="center"/>
          </w:tcPr>
          <w:p w:rsidR="003073A4" w:rsidRDefault="000545DD">
            <w:pPr>
              <w:jc w:val="center"/>
              <w:rPr>
                <w:sz w:val="16"/>
                <w:szCs w:val="16"/>
              </w:rPr>
            </w:pPr>
            <w:r>
              <w:rPr>
                <w:sz w:val="16"/>
                <w:szCs w:val="16"/>
              </w:rPr>
              <w:t>256.576,68</w:t>
            </w:r>
          </w:p>
        </w:tc>
        <w:tc>
          <w:tcPr>
            <w:tcW w:w="1115" w:type="dxa"/>
            <w:shd w:val="clear" w:color="auto" w:fill="BEBEBE"/>
            <w:vAlign w:val="center"/>
          </w:tcPr>
          <w:p w:rsidR="003073A4" w:rsidRDefault="000545DD">
            <w:pPr>
              <w:jc w:val="center"/>
              <w:rPr>
                <w:sz w:val="16"/>
                <w:szCs w:val="16"/>
              </w:rPr>
            </w:pPr>
            <w:r>
              <w:rPr>
                <w:sz w:val="16"/>
                <w:szCs w:val="16"/>
              </w:rPr>
              <w:t>77.346,72</w:t>
            </w:r>
          </w:p>
        </w:tc>
        <w:tc>
          <w:tcPr>
            <w:tcW w:w="1115" w:type="dxa"/>
            <w:shd w:val="clear" w:color="auto" w:fill="BEBEBE"/>
            <w:vAlign w:val="center"/>
          </w:tcPr>
          <w:p w:rsidR="003073A4" w:rsidRDefault="000545DD">
            <w:pPr>
              <w:jc w:val="center"/>
              <w:rPr>
                <w:sz w:val="16"/>
                <w:szCs w:val="16"/>
              </w:rPr>
            </w:pPr>
            <w:r>
              <w:rPr>
                <w:sz w:val="16"/>
                <w:szCs w:val="16"/>
              </w:rPr>
              <w:t>9.185,04</w:t>
            </w:r>
          </w:p>
        </w:tc>
        <w:tc>
          <w:tcPr>
            <w:tcW w:w="990" w:type="dxa"/>
            <w:shd w:val="clear" w:color="auto" w:fill="BEBEBE"/>
            <w:vAlign w:val="center"/>
          </w:tcPr>
          <w:p w:rsidR="003073A4" w:rsidRDefault="000545DD">
            <w:pPr>
              <w:jc w:val="center"/>
              <w:rPr>
                <w:sz w:val="16"/>
                <w:szCs w:val="16"/>
              </w:rPr>
            </w:pPr>
            <w:r>
              <w:rPr>
                <w:sz w:val="16"/>
                <w:szCs w:val="16"/>
              </w:rPr>
              <w:t>27.715,91</w:t>
            </w:r>
          </w:p>
        </w:tc>
        <w:tc>
          <w:tcPr>
            <w:tcW w:w="865" w:type="dxa"/>
            <w:shd w:val="clear" w:color="auto" w:fill="BEBEBE"/>
            <w:vAlign w:val="center"/>
          </w:tcPr>
          <w:p w:rsidR="003073A4" w:rsidRDefault="000545DD">
            <w:pPr>
              <w:jc w:val="center"/>
              <w:rPr>
                <w:sz w:val="16"/>
                <w:szCs w:val="16"/>
              </w:rPr>
            </w:pPr>
            <w:r>
              <w:rPr>
                <w:sz w:val="16"/>
                <w:szCs w:val="16"/>
              </w:rPr>
              <w:t>23.678,57</w:t>
            </w:r>
          </w:p>
        </w:tc>
        <w:tc>
          <w:tcPr>
            <w:tcW w:w="1049" w:type="dxa"/>
            <w:shd w:val="clear" w:color="auto" w:fill="BEBEBE"/>
            <w:vAlign w:val="center"/>
          </w:tcPr>
          <w:p w:rsidR="003073A4" w:rsidRDefault="000545DD">
            <w:pPr>
              <w:jc w:val="center"/>
              <w:rPr>
                <w:sz w:val="16"/>
                <w:szCs w:val="16"/>
              </w:rPr>
            </w:pPr>
            <w:r>
              <w:rPr>
                <w:sz w:val="16"/>
                <w:szCs w:val="16"/>
              </w:rPr>
              <w:t>-</w:t>
            </w:r>
          </w:p>
        </w:tc>
      </w:tr>
      <w:tr w:rsidR="003073A4">
        <w:trPr>
          <w:trHeight w:val="315"/>
        </w:trPr>
        <w:tc>
          <w:tcPr>
            <w:tcW w:w="2671" w:type="dxa"/>
            <w:gridSpan w:val="2"/>
            <w:shd w:val="clear" w:color="auto" w:fill="44536A"/>
            <w:vAlign w:val="center"/>
          </w:tcPr>
          <w:p w:rsidR="003073A4" w:rsidRDefault="000545DD">
            <w:pPr>
              <w:jc w:val="center"/>
              <w:rPr>
                <w:color w:val="FF0000"/>
                <w:sz w:val="18"/>
                <w:szCs w:val="18"/>
              </w:rPr>
            </w:pPr>
            <w:r>
              <w:rPr>
                <w:color w:val="FF0000"/>
                <w:sz w:val="18"/>
                <w:szCs w:val="18"/>
              </w:rPr>
              <w:t> </w:t>
            </w:r>
          </w:p>
        </w:tc>
        <w:tc>
          <w:tcPr>
            <w:tcW w:w="1115" w:type="dxa"/>
            <w:shd w:val="clear" w:color="auto" w:fill="44536A"/>
            <w:vAlign w:val="center"/>
          </w:tcPr>
          <w:p w:rsidR="003073A4" w:rsidRDefault="000545DD">
            <w:pPr>
              <w:jc w:val="center"/>
              <w:rPr>
                <w:b/>
                <w:bCs/>
                <w:color w:val="FFFFFF"/>
                <w:sz w:val="16"/>
                <w:szCs w:val="16"/>
              </w:rPr>
            </w:pPr>
            <w:r>
              <w:rPr>
                <w:b/>
                <w:bCs/>
                <w:color w:val="FFFFFF"/>
                <w:sz w:val="16"/>
                <w:szCs w:val="16"/>
              </w:rPr>
              <w:t>1.042.346,00</w:t>
            </w:r>
          </w:p>
        </w:tc>
        <w:tc>
          <w:tcPr>
            <w:tcW w:w="1115" w:type="dxa"/>
            <w:shd w:val="clear" w:color="auto" w:fill="44536A"/>
            <w:vAlign w:val="center"/>
          </w:tcPr>
          <w:p w:rsidR="003073A4" w:rsidRDefault="000545DD">
            <w:pPr>
              <w:jc w:val="center"/>
              <w:rPr>
                <w:b/>
                <w:bCs/>
                <w:color w:val="FF0000"/>
                <w:sz w:val="16"/>
                <w:szCs w:val="16"/>
              </w:rPr>
            </w:pPr>
            <w:r>
              <w:rPr>
                <w:b/>
                <w:bCs/>
                <w:color w:val="FFFFFF"/>
                <w:sz w:val="16"/>
                <w:szCs w:val="16"/>
              </w:rPr>
              <w:t>314.221,08</w:t>
            </w:r>
          </w:p>
        </w:tc>
        <w:tc>
          <w:tcPr>
            <w:tcW w:w="1115" w:type="dxa"/>
            <w:shd w:val="clear" w:color="auto" w:fill="44536A"/>
            <w:vAlign w:val="center"/>
          </w:tcPr>
          <w:p w:rsidR="003073A4" w:rsidRDefault="000545DD">
            <w:pPr>
              <w:jc w:val="center"/>
              <w:rPr>
                <w:b/>
                <w:bCs/>
                <w:color w:val="FF0000"/>
                <w:sz w:val="16"/>
                <w:szCs w:val="16"/>
              </w:rPr>
            </w:pPr>
            <w:r>
              <w:rPr>
                <w:b/>
                <w:bCs/>
                <w:color w:val="FFFFFF"/>
                <w:sz w:val="16"/>
                <w:szCs w:val="16"/>
              </w:rPr>
              <w:t>37.322,99</w:t>
            </w:r>
          </w:p>
        </w:tc>
        <w:tc>
          <w:tcPr>
            <w:tcW w:w="990" w:type="dxa"/>
            <w:shd w:val="clear" w:color="auto" w:fill="44536A"/>
            <w:vAlign w:val="center"/>
          </w:tcPr>
          <w:p w:rsidR="003073A4" w:rsidRDefault="000545DD">
            <w:pPr>
              <w:jc w:val="center"/>
              <w:rPr>
                <w:b/>
                <w:bCs/>
                <w:color w:val="FF0000"/>
                <w:sz w:val="16"/>
                <w:szCs w:val="16"/>
              </w:rPr>
            </w:pPr>
            <w:r>
              <w:rPr>
                <w:b/>
                <w:bCs/>
                <w:color w:val="FFFFFF"/>
                <w:sz w:val="16"/>
                <w:szCs w:val="16"/>
              </w:rPr>
              <w:t>112.595,88</w:t>
            </w:r>
          </w:p>
        </w:tc>
        <w:tc>
          <w:tcPr>
            <w:tcW w:w="865" w:type="dxa"/>
            <w:shd w:val="clear" w:color="auto" w:fill="44536A"/>
            <w:vAlign w:val="center"/>
          </w:tcPr>
          <w:p w:rsidR="003073A4" w:rsidRDefault="000545DD">
            <w:pPr>
              <w:jc w:val="center"/>
              <w:rPr>
                <w:b/>
                <w:bCs/>
                <w:color w:val="FF0000"/>
                <w:sz w:val="16"/>
                <w:szCs w:val="16"/>
              </w:rPr>
            </w:pPr>
            <w:r>
              <w:rPr>
                <w:b/>
                <w:bCs/>
                <w:color w:val="FFFFFF"/>
                <w:sz w:val="16"/>
                <w:szCs w:val="16"/>
              </w:rPr>
              <w:t>94.714,28</w:t>
            </w:r>
          </w:p>
        </w:tc>
        <w:tc>
          <w:tcPr>
            <w:tcW w:w="1049" w:type="dxa"/>
            <w:shd w:val="clear" w:color="auto" w:fill="44536A"/>
            <w:vAlign w:val="center"/>
          </w:tcPr>
          <w:p w:rsidR="003073A4" w:rsidRDefault="000545DD">
            <w:pPr>
              <w:jc w:val="center"/>
              <w:rPr>
                <w:b/>
                <w:bCs/>
                <w:color w:val="FF0000"/>
                <w:sz w:val="16"/>
                <w:szCs w:val="16"/>
              </w:rPr>
            </w:pPr>
            <w:r>
              <w:rPr>
                <w:b/>
                <w:bCs/>
                <w:color w:val="FFFFFF"/>
                <w:sz w:val="16"/>
                <w:szCs w:val="16"/>
              </w:rPr>
              <w:t>0,00</w:t>
            </w:r>
          </w:p>
        </w:tc>
      </w:tr>
      <w:tr w:rsidR="003073A4">
        <w:trPr>
          <w:trHeight w:val="315"/>
        </w:trPr>
        <w:tc>
          <w:tcPr>
            <w:tcW w:w="7871" w:type="dxa"/>
            <w:gridSpan w:val="7"/>
            <w:shd w:val="clear" w:color="auto" w:fill="44536A"/>
            <w:vAlign w:val="center"/>
          </w:tcPr>
          <w:p w:rsidR="003073A4" w:rsidRDefault="000545DD">
            <w:pPr>
              <w:jc w:val="center"/>
              <w:rPr>
                <w:color w:val="FF0000"/>
                <w:sz w:val="16"/>
                <w:szCs w:val="16"/>
              </w:rPr>
            </w:pPr>
            <w:r>
              <w:rPr>
                <w:color w:val="FF0000"/>
                <w:sz w:val="16"/>
                <w:szCs w:val="16"/>
              </w:rPr>
              <w:t> </w:t>
            </w:r>
          </w:p>
        </w:tc>
        <w:tc>
          <w:tcPr>
            <w:tcW w:w="1049" w:type="dxa"/>
            <w:shd w:val="clear" w:color="auto" w:fill="44536A"/>
            <w:vAlign w:val="center"/>
          </w:tcPr>
          <w:p w:rsidR="003073A4" w:rsidRDefault="000545DD">
            <w:pPr>
              <w:jc w:val="center"/>
              <w:rPr>
                <w:b/>
                <w:bCs/>
                <w:color w:val="FF0000"/>
                <w:sz w:val="16"/>
                <w:szCs w:val="16"/>
              </w:rPr>
            </w:pPr>
            <w:r>
              <w:rPr>
                <w:b/>
                <w:bCs/>
                <w:color w:val="FFFFFF"/>
                <w:sz w:val="16"/>
                <w:szCs w:val="16"/>
              </w:rPr>
              <w:t>1.601.200,23</w:t>
            </w:r>
          </w:p>
        </w:tc>
      </w:tr>
      <w:tr w:rsidR="003073A4">
        <w:trPr>
          <w:trHeight w:val="315"/>
        </w:trPr>
        <w:tc>
          <w:tcPr>
            <w:tcW w:w="8920" w:type="dxa"/>
            <w:gridSpan w:val="8"/>
            <w:shd w:val="clear" w:color="auto" w:fill="203764"/>
            <w:vAlign w:val="center"/>
          </w:tcPr>
          <w:p w:rsidR="003073A4" w:rsidRDefault="000545DD">
            <w:pPr>
              <w:jc w:val="center"/>
              <w:rPr>
                <w:b/>
                <w:bCs/>
                <w:color w:val="FF0000"/>
                <w:sz w:val="18"/>
                <w:szCs w:val="18"/>
              </w:rPr>
            </w:pPr>
            <w:r>
              <w:rPr>
                <w:b/>
                <w:bCs/>
                <w:color w:val="FFFFFF"/>
                <w:sz w:val="18"/>
                <w:szCs w:val="18"/>
              </w:rPr>
              <w:t>CONSELHO DE ADMINISTRAÇÃO</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Fabio Lavor Teixeira</w:t>
            </w:r>
          </w:p>
        </w:tc>
        <w:tc>
          <w:tcPr>
            <w:tcW w:w="1315" w:type="dxa"/>
            <w:shd w:val="clear" w:color="auto" w:fill="8496AF"/>
            <w:vAlign w:val="center"/>
          </w:tcPr>
          <w:p w:rsidR="003073A4" w:rsidRDefault="000545DD">
            <w:pPr>
              <w:jc w:val="center"/>
              <w:rPr>
                <w:b/>
                <w:bCs/>
                <w:sz w:val="16"/>
                <w:szCs w:val="16"/>
              </w:rPr>
            </w:pPr>
            <w:r>
              <w:rPr>
                <w:b/>
                <w:bCs/>
                <w:sz w:val="16"/>
                <w:szCs w:val="16"/>
              </w:rPr>
              <w:t>Presidente</w:t>
            </w:r>
          </w:p>
        </w:tc>
        <w:tc>
          <w:tcPr>
            <w:tcW w:w="1115" w:type="dxa"/>
            <w:shd w:val="clear" w:color="auto" w:fill="BEBEBE"/>
            <w:vAlign w:val="center"/>
          </w:tcPr>
          <w:p w:rsidR="003073A4" w:rsidRDefault="000545DD">
            <w:pPr>
              <w:jc w:val="center"/>
              <w:rPr>
                <w:sz w:val="16"/>
                <w:szCs w:val="16"/>
              </w:rPr>
            </w:pPr>
            <w:r>
              <w:rPr>
                <w:sz w:val="16"/>
                <w:szCs w:val="16"/>
              </w:rPr>
              <w:t>12.246,88</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Eliana Nascimento de Oliveira</w:t>
            </w:r>
          </w:p>
        </w:tc>
        <w:tc>
          <w:tcPr>
            <w:tcW w:w="1315" w:type="dxa"/>
            <w:shd w:val="clear" w:color="auto" w:fill="8496AF"/>
            <w:vAlign w:val="center"/>
          </w:tcPr>
          <w:p w:rsidR="003073A4" w:rsidRDefault="000545DD">
            <w:pPr>
              <w:jc w:val="center"/>
              <w:rPr>
                <w:b/>
                <w:bCs/>
                <w:sz w:val="16"/>
                <w:szCs w:val="16"/>
              </w:rPr>
            </w:pPr>
            <w:r>
              <w:rPr>
                <w:b/>
                <w:bCs/>
                <w:sz w:val="16"/>
                <w:szCs w:val="16"/>
              </w:rPr>
              <w:t>Presidente</w:t>
            </w:r>
          </w:p>
        </w:tc>
        <w:tc>
          <w:tcPr>
            <w:tcW w:w="1115" w:type="dxa"/>
            <w:shd w:val="clear" w:color="auto" w:fill="BEBEBE"/>
            <w:vAlign w:val="center"/>
          </w:tcPr>
          <w:p w:rsidR="003073A4" w:rsidRDefault="000545DD">
            <w:pPr>
              <w:jc w:val="center"/>
              <w:rPr>
                <w:sz w:val="16"/>
                <w:szCs w:val="16"/>
              </w:rPr>
            </w:pPr>
            <w:r>
              <w:rPr>
                <w:sz w:val="16"/>
                <w:szCs w:val="16"/>
              </w:rPr>
              <w:t>21.432,04</w:t>
            </w:r>
          </w:p>
        </w:tc>
        <w:tc>
          <w:tcPr>
            <w:tcW w:w="1115" w:type="dxa"/>
            <w:shd w:val="clear" w:color="auto" w:fill="BEBEBE"/>
            <w:vAlign w:val="center"/>
          </w:tcPr>
          <w:p w:rsidR="003073A4" w:rsidRDefault="003073A4">
            <w:pPr>
              <w:jc w:val="center"/>
              <w:rPr>
                <w:color w:val="FF0000"/>
                <w:sz w:val="16"/>
                <w:szCs w:val="16"/>
              </w:rPr>
            </w:pP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Bruno Iughetti</w:t>
            </w:r>
          </w:p>
        </w:tc>
        <w:tc>
          <w:tcPr>
            <w:tcW w:w="1315" w:type="dxa"/>
            <w:shd w:val="clear" w:color="auto" w:fill="8496AF"/>
            <w:vAlign w:val="center"/>
          </w:tcPr>
          <w:p w:rsidR="003073A4" w:rsidRDefault="000545DD">
            <w:pPr>
              <w:jc w:val="cente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Marlos Costa de Andrade</w:t>
            </w:r>
          </w:p>
        </w:tc>
        <w:tc>
          <w:tcPr>
            <w:tcW w:w="1315" w:type="dxa"/>
            <w:shd w:val="clear" w:color="auto" w:fill="8496AF"/>
            <w:vAlign w:val="center"/>
          </w:tcPr>
          <w:p w:rsidR="003073A4" w:rsidRDefault="000545DD">
            <w:pPr>
              <w:jc w:val="cente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Carlos Murilo de Azevedo Pires</w:t>
            </w:r>
          </w:p>
        </w:tc>
        <w:tc>
          <w:tcPr>
            <w:tcW w:w="1315" w:type="dxa"/>
            <w:shd w:val="clear" w:color="auto" w:fill="8496AF"/>
            <w:vAlign w:val="center"/>
          </w:tcPr>
          <w:p w:rsidR="003073A4" w:rsidRDefault="000545DD">
            <w:pPr>
              <w:jc w:val="cente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3073A4">
            <w:pPr>
              <w:jc w:val="center"/>
              <w:rPr>
                <w:color w:val="FF0000"/>
                <w:sz w:val="16"/>
                <w:szCs w:val="16"/>
              </w:rPr>
            </w:pP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Janira Tripodi Borja</w:t>
            </w:r>
          </w:p>
        </w:tc>
        <w:tc>
          <w:tcPr>
            <w:tcW w:w="1315" w:type="dxa"/>
            <w:shd w:val="clear" w:color="auto" w:fill="8496AF"/>
            <w:vAlign w:val="center"/>
          </w:tcPr>
          <w:p w:rsidR="003073A4" w:rsidRDefault="000545DD">
            <w:pPr>
              <w:jc w:val="cente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3073A4">
            <w:pPr>
              <w:jc w:val="center"/>
              <w:rPr>
                <w:color w:val="FF0000"/>
                <w:sz w:val="16"/>
                <w:szCs w:val="16"/>
              </w:rPr>
            </w:pP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Maria Gorete Pereira</w:t>
            </w:r>
          </w:p>
        </w:tc>
        <w:tc>
          <w:tcPr>
            <w:tcW w:w="1315" w:type="dxa"/>
            <w:shd w:val="clear" w:color="auto" w:fill="8496AF"/>
            <w:vAlign w:val="center"/>
          </w:tcPr>
          <w:p w:rsidR="003073A4" w:rsidRDefault="000545DD">
            <w:pPr>
              <w:jc w:val="cente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30.617,20</w:t>
            </w:r>
          </w:p>
        </w:tc>
        <w:tc>
          <w:tcPr>
            <w:tcW w:w="1115" w:type="dxa"/>
            <w:shd w:val="clear" w:color="auto" w:fill="BEBEBE"/>
            <w:vAlign w:val="center"/>
          </w:tcPr>
          <w:p w:rsidR="003073A4" w:rsidRDefault="003073A4">
            <w:pPr>
              <w:jc w:val="center"/>
              <w:rPr>
                <w:color w:val="FF0000"/>
                <w:sz w:val="16"/>
                <w:szCs w:val="16"/>
              </w:rPr>
            </w:pP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2671" w:type="dxa"/>
            <w:gridSpan w:val="2"/>
            <w:shd w:val="clear" w:color="auto" w:fill="44536A"/>
            <w:vAlign w:val="center"/>
          </w:tcPr>
          <w:p w:rsidR="003073A4" w:rsidRDefault="000545DD">
            <w:pPr>
              <w:jc w:val="center"/>
              <w:rPr>
                <w:color w:val="FF0000"/>
                <w:sz w:val="16"/>
                <w:szCs w:val="16"/>
              </w:rPr>
            </w:pPr>
            <w:r>
              <w:rPr>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FFFF"/>
                <w:sz w:val="16"/>
                <w:szCs w:val="16"/>
              </w:rPr>
              <w:t>211.258,68</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990"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86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049" w:type="dxa"/>
            <w:shd w:val="clear" w:color="auto" w:fill="44536A"/>
            <w:vAlign w:val="center"/>
          </w:tcPr>
          <w:p w:rsidR="003073A4" w:rsidRDefault="000545DD">
            <w:pPr>
              <w:jc w:val="center"/>
              <w:rPr>
                <w:b/>
                <w:bCs/>
                <w:color w:val="FF0000"/>
                <w:sz w:val="16"/>
                <w:szCs w:val="16"/>
              </w:rPr>
            </w:pPr>
            <w:r>
              <w:rPr>
                <w:b/>
                <w:bCs/>
                <w:color w:val="FF0000"/>
                <w:sz w:val="16"/>
                <w:szCs w:val="16"/>
              </w:rPr>
              <w:t> </w:t>
            </w:r>
          </w:p>
        </w:tc>
      </w:tr>
      <w:tr w:rsidR="003073A4">
        <w:trPr>
          <w:trHeight w:val="315"/>
        </w:trPr>
        <w:tc>
          <w:tcPr>
            <w:tcW w:w="7871" w:type="dxa"/>
            <w:gridSpan w:val="7"/>
            <w:shd w:val="clear" w:color="auto" w:fill="44536A"/>
            <w:vAlign w:val="center"/>
          </w:tcPr>
          <w:p w:rsidR="003073A4" w:rsidRDefault="000545DD">
            <w:pPr>
              <w:jc w:val="center"/>
              <w:rPr>
                <w:color w:val="FF0000"/>
                <w:sz w:val="16"/>
                <w:szCs w:val="16"/>
              </w:rPr>
            </w:pPr>
            <w:r>
              <w:rPr>
                <w:color w:val="FF0000"/>
                <w:sz w:val="16"/>
                <w:szCs w:val="16"/>
              </w:rPr>
              <w:t> </w:t>
            </w:r>
          </w:p>
        </w:tc>
        <w:tc>
          <w:tcPr>
            <w:tcW w:w="1049" w:type="dxa"/>
            <w:shd w:val="clear" w:color="auto" w:fill="44536A"/>
            <w:vAlign w:val="center"/>
          </w:tcPr>
          <w:p w:rsidR="003073A4" w:rsidRDefault="000545DD">
            <w:pPr>
              <w:jc w:val="center"/>
              <w:rPr>
                <w:b/>
                <w:bCs/>
                <w:color w:val="FF0000"/>
                <w:sz w:val="16"/>
                <w:szCs w:val="16"/>
              </w:rPr>
            </w:pPr>
            <w:r>
              <w:rPr>
                <w:b/>
                <w:bCs/>
                <w:color w:val="FFFFFF"/>
                <w:sz w:val="16"/>
                <w:szCs w:val="16"/>
              </w:rPr>
              <w:t>211.258,68</w:t>
            </w:r>
          </w:p>
        </w:tc>
      </w:tr>
      <w:tr w:rsidR="003073A4">
        <w:trPr>
          <w:trHeight w:val="315"/>
        </w:trPr>
        <w:tc>
          <w:tcPr>
            <w:tcW w:w="7871" w:type="dxa"/>
            <w:gridSpan w:val="7"/>
            <w:shd w:val="clear" w:color="auto" w:fill="44536A"/>
            <w:vAlign w:val="center"/>
          </w:tcPr>
          <w:p w:rsidR="003073A4" w:rsidRDefault="000545DD">
            <w:pPr>
              <w:jc w:val="right"/>
              <w:rPr>
                <w:b/>
                <w:bCs/>
                <w:color w:val="FFFFFF"/>
                <w:sz w:val="16"/>
                <w:szCs w:val="16"/>
              </w:rPr>
            </w:pPr>
            <w:r>
              <w:rPr>
                <w:b/>
                <w:bCs/>
                <w:color w:val="FFFFFF"/>
                <w:sz w:val="16"/>
                <w:szCs w:val="16"/>
              </w:rPr>
              <w:t>REMUNERAÇÃO TOTAL DOS ADMINISTRADORES (R$)</w:t>
            </w:r>
          </w:p>
        </w:tc>
        <w:tc>
          <w:tcPr>
            <w:tcW w:w="1049" w:type="dxa"/>
            <w:shd w:val="clear" w:color="auto" w:fill="44536A"/>
            <w:vAlign w:val="center"/>
          </w:tcPr>
          <w:p w:rsidR="003073A4" w:rsidRDefault="000545DD">
            <w:pPr>
              <w:jc w:val="center"/>
              <w:rPr>
                <w:b/>
                <w:bCs/>
                <w:color w:val="FFFFFF"/>
                <w:sz w:val="16"/>
                <w:szCs w:val="16"/>
              </w:rPr>
            </w:pPr>
            <w:r>
              <w:rPr>
                <w:b/>
                <w:bCs/>
                <w:color w:val="FFFFFF"/>
                <w:sz w:val="16"/>
                <w:szCs w:val="16"/>
              </w:rPr>
              <w:t>1.812.458,91</w:t>
            </w:r>
          </w:p>
        </w:tc>
      </w:tr>
      <w:tr w:rsidR="003073A4">
        <w:trPr>
          <w:trHeight w:val="315"/>
        </w:trPr>
        <w:tc>
          <w:tcPr>
            <w:tcW w:w="8920" w:type="dxa"/>
            <w:gridSpan w:val="8"/>
            <w:shd w:val="clear" w:color="auto" w:fill="203764"/>
            <w:vAlign w:val="center"/>
          </w:tcPr>
          <w:p w:rsidR="003073A4" w:rsidRDefault="000545DD">
            <w:pPr>
              <w:jc w:val="center"/>
              <w:rPr>
                <w:b/>
                <w:bCs/>
                <w:color w:val="FFFFFF"/>
                <w:sz w:val="18"/>
                <w:szCs w:val="18"/>
              </w:rPr>
            </w:pPr>
            <w:r>
              <w:rPr>
                <w:b/>
                <w:bCs/>
                <w:color w:val="FFFFFF"/>
                <w:sz w:val="18"/>
                <w:szCs w:val="18"/>
              </w:rPr>
              <w:t>CONSELHO FISCAL</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Ivo Cordeiro Pinho Timbó</w:t>
            </w:r>
          </w:p>
        </w:tc>
        <w:tc>
          <w:tcPr>
            <w:tcW w:w="1315" w:type="dxa"/>
            <w:shd w:val="clear" w:color="auto" w:fill="8496AF"/>
            <w:vAlign w:val="center"/>
          </w:tcPr>
          <w:p w:rsidR="003073A4" w:rsidRDefault="000545DD">
            <w:pPr>
              <w:rPr>
                <w:b/>
                <w:bCs/>
                <w:sz w:val="16"/>
                <w:szCs w:val="16"/>
              </w:rPr>
            </w:pPr>
            <w:r>
              <w:rPr>
                <w:b/>
                <w:bCs/>
                <w:sz w:val="16"/>
                <w:szCs w:val="16"/>
              </w:rPr>
              <w:t>Presidente</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Jhon Clayton da Cilva Ribeiro</w:t>
            </w:r>
          </w:p>
        </w:tc>
        <w:tc>
          <w:tcPr>
            <w:tcW w:w="1315" w:type="dxa"/>
            <w:shd w:val="clear" w:color="auto" w:fill="8496AF"/>
            <w:vAlign w:val="center"/>
          </w:tcPr>
          <w:p w:rsidR="003073A4" w:rsidRDefault="000545DD">
            <w:pP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3073A4">
            <w:pPr>
              <w:jc w:val="center"/>
              <w:rPr>
                <w:color w:val="FF0000"/>
                <w:sz w:val="16"/>
                <w:szCs w:val="16"/>
              </w:rPr>
            </w:pP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Bruno Fernandes de Rocha Borba</w:t>
            </w:r>
          </w:p>
        </w:tc>
        <w:tc>
          <w:tcPr>
            <w:tcW w:w="1315" w:type="dxa"/>
            <w:shd w:val="clear" w:color="auto" w:fill="8496AF"/>
            <w:vAlign w:val="center"/>
          </w:tcPr>
          <w:p w:rsidR="003073A4" w:rsidRDefault="000545DD">
            <w:pP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27.555,48</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2671" w:type="dxa"/>
            <w:gridSpan w:val="2"/>
            <w:shd w:val="clear" w:color="auto" w:fill="44536A"/>
            <w:vAlign w:val="center"/>
          </w:tcPr>
          <w:p w:rsidR="003073A4" w:rsidRDefault="000545DD">
            <w:pPr>
              <w:jc w:val="center"/>
              <w:rPr>
                <w:color w:val="FF0000"/>
                <w:sz w:val="16"/>
                <w:szCs w:val="16"/>
              </w:rPr>
            </w:pPr>
            <w:r>
              <w:rPr>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FFFF"/>
                <w:sz w:val="16"/>
                <w:szCs w:val="16"/>
              </w:rPr>
              <w:t>101.036,76</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990"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86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049" w:type="dxa"/>
            <w:shd w:val="clear" w:color="auto" w:fill="44536A"/>
            <w:vAlign w:val="center"/>
          </w:tcPr>
          <w:p w:rsidR="003073A4" w:rsidRDefault="000545DD">
            <w:pPr>
              <w:jc w:val="center"/>
              <w:rPr>
                <w:b/>
                <w:bCs/>
                <w:color w:val="FF0000"/>
                <w:sz w:val="16"/>
                <w:szCs w:val="16"/>
              </w:rPr>
            </w:pPr>
            <w:r>
              <w:rPr>
                <w:b/>
                <w:bCs/>
                <w:color w:val="FF0000"/>
                <w:sz w:val="16"/>
                <w:szCs w:val="16"/>
              </w:rPr>
              <w:t> </w:t>
            </w:r>
          </w:p>
        </w:tc>
      </w:tr>
      <w:tr w:rsidR="003073A4">
        <w:trPr>
          <w:trHeight w:val="315"/>
        </w:trPr>
        <w:tc>
          <w:tcPr>
            <w:tcW w:w="7871" w:type="dxa"/>
            <w:gridSpan w:val="7"/>
            <w:shd w:val="clear" w:color="auto" w:fill="44536A"/>
            <w:vAlign w:val="center"/>
          </w:tcPr>
          <w:p w:rsidR="003073A4" w:rsidRDefault="000545DD">
            <w:pPr>
              <w:jc w:val="right"/>
              <w:rPr>
                <w:b/>
                <w:bCs/>
                <w:color w:val="FFFFFF"/>
                <w:sz w:val="16"/>
                <w:szCs w:val="16"/>
              </w:rPr>
            </w:pPr>
            <w:r>
              <w:rPr>
                <w:b/>
                <w:bCs/>
                <w:color w:val="FFFFFF"/>
                <w:sz w:val="16"/>
                <w:szCs w:val="16"/>
              </w:rPr>
              <w:t>REMUNERAÇÃO TOTAL CONSELHO FISCAL (R$)</w:t>
            </w:r>
          </w:p>
        </w:tc>
        <w:tc>
          <w:tcPr>
            <w:tcW w:w="1049" w:type="dxa"/>
            <w:shd w:val="clear" w:color="auto" w:fill="44536A"/>
            <w:vAlign w:val="center"/>
          </w:tcPr>
          <w:p w:rsidR="003073A4" w:rsidRDefault="000545DD">
            <w:pPr>
              <w:jc w:val="center"/>
              <w:rPr>
                <w:b/>
                <w:bCs/>
                <w:color w:val="FFFFFF"/>
                <w:sz w:val="16"/>
                <w:szCs w:val="16"/>
              </w:rPr>
            </w:pPr>
            <w:r>
              <w:rPr>
                <w:b/>
                <w:bCs/>
                <w:color w:val="FFFFFF"/>
                <w:sz w:val="16"/>
                <w:szCs w:val="16"/>
              </w:rPr>
              <w:t>101.036,76</w:t>
            </w:r>
          </w:p>
        </w:tc>
      </w:tr>
      <w:tr w:rsidR="003073A4">
        <w:trPr>
          <w:trHeight w:val="300"/>
        </w:trPr>
        <w:tc>
          <w:tcPr>
            <w:tcW w:w="8920" w:type="dxa"/>
            <w:gridSpan w:val="8"/>
            <w:shd w:val="clear" w:color="auto" w:fill="203764"/>
            <w:vAlign w:val="center"/>
          </w:tcPr>
          <w:p w:rsidR="003073A4" w:rsidRDefault="000545DD">
            <w:pPr>
              <w:jc w:val="center"/>
              <w:rPr>
                <w:b/>
                <w:bCs/>
                <w:color w:val="FFFFFF"/>
                <w:sz w:val="18"/>
                <w:szCs w:val="18"/>
              </w:rPr>
            </w:pPr>
            <w:r>
              <w:rPr>
                <w:b/>
                <w:bCs/>
                <w:color w:val="FFFFFF"/>
                <w:sz w:val="18"/>
                <w:szCs w:val="18"/>
              </w:rPr>
              <w:t>COMITÊ DE AUDITORIA</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Romana Pires Freire França</w:t>
            </w:r>
          </w:p>
        </w:tc>
        <w:tc>
          <w:tcPr>
            <w:tcW w:w="1315" w:type="dxa"/>
            <w:shd w:val="clear" w:color="auto" w:fill="8496AF"/>
            <w:vAlign w:val="center"/>
          </w:tcPr>
          <w:p w:rsidR="003073A4" w:rsidRDefault="000545DD">
            <w:pP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9.185,16</w:t>
            </w:r>
          </w:p>
        </w:tc>
        <w:tc>
          <w:tcPr>
            <w:tcW w:w="1115" w:type="dxa"/>
            <w:shd w:val="clear" w:color="auto" w:fill="BEBEBE"/>
            <w:vAlign w:val="center"/>
          </w:tcPr>
          <w:p w:rsidR="003073A4" w:rsidRDefault="000545DD">
            <w:pPr>
              <w:jc w:val="center"/>
              <w:rPr>
                <w:sz w:val="16"/>
                <w:szCs w:val="16"/>
              </w:rPr>
            </w:pPr>
            <w:r>
              <w:rPr>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t>Mauricio Augusto Souza Lopes</w:t>
            </w:r>
          </w:p>
        </w:tc>
        <w:tc>
          <w:tcPr>
            <w:tcW w:w="1315" w:type="dxa"/>
            <w:shd w:val="clear" w:color="auto" w:fill="8496AF"/>
            <w:vAlign w:val="center"/>
          </w:tcPr>
          <w:p w:rsidR="003073A4" w:rsidRDefault="000545DD">
            <w:pP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36.740,64</w:t>
            </w:r>
          </w:p>
        </w:tc>
        <w:tc>
          <w:tcPr>
            <w:tcW w:w="1115" w:type="dxa"/>
            <w:shd w:val="clear" w:color="auto" w:fill="BEBEBE"/>
            <w:vAlign w:val="center"/>
          </w:tcPr>
          <w:p w:rsidR="003073A4" w:rsidRDefault="000545DD">
            <w:pPr>
              <w:jc w:val="center"/>
              <w:rPr>
                <w:sz w:val="16"/>
                <w:szCs w:val="16"/>
              </w:rPr>
            </w:pPr>
            <w:r>
              <w:rPr>
                <w:sz w:val="16"/>
                <w:szCs w:val="16"/>
              </w:rPr>
              <w:t> </w:t>
            </w:r>
          </w:p>
        </w:tc>
        <w:tc>
          <w:tcPr>
            <w:tcW w:w="1115" w:type="dxa"/>
            <w:shd w:val="clear" w:color="auto" w:fill="BEBEBE"/>
            <w:vAlign w:val="center"/>
          </w:tcPr>
          <w:p w:rsidR="003073A4" w:rsidRDefault="003073A4">
            <w:pPr>
              <w:jc w:val="center"/>
              <w:rPr>
                <w:color w:val="FF0000"/>
                <w:sz w:val="16"/>
                <w:szCs w:val="16"/>
              </w:rPr>
            </w:pPr>
          </w:p>
        </w:tc>
        <w:tc>
          <w:tcPr>
            <w:tcW w:w="990" w:type="dxa"/>
            <w:shd w:val="clear" w:color="auto" w:fill="BEBEBE"/>
            <w:vAlign w:val="center"/>
          </w:tcPr>
          <w:p w:rsidR="003073A4" w:rsidRDefault="003073A4">
            <w:pPr>
              <w:jc w:val="center"/>
              <w:rPr>
                <w:color w:val="FF0000"/>
                <w:sz w:val="16"/>
                <w:szCs w:val="16"/>
              </w:rPr>
            </w:pPr>
          </w:p>
        </w:tc>
        <w:tc>
          <w:tcPr>
            <w:tcW w:w="865" w:type="dxa"/>
            <w:shd w:val="clear" w:color="auto" w:fill="BEBEBE"/>
            <w:vAlign w:val="center"/>
          </w:tcPr>
          <w:p w:rsidR="003073A4" w:rsidRDefault="003073A4">
            <w:pPr>
              <w:jc w:val="center"/>
              <w:rPr>
                <w:color w:val="FF0000"/>
                <w:sz w:val="16"/>
                <w:szCs w:val="16"/>
              </w:rPr>
            </w:pPr>
          </w:p>
        </w:tc>
        <w:tc>
          <w:tcPr>
            <w:tcW w:w="1049" w:type="dxa"/>
            <w:shd w:val="clear" w:color="auto" w:fill="BEBEBE"/>
            <w:vAlign w:val="center"/>
          </w:tcPr>
          <w:p w:rsidR="003073A4" w:rsidRDefault="003073A4">
            <w:pPr>
              <w:jc w:val="center"/>
              <w:rPr>
                <w:color w:val="FF0000"/>
                <w:sz w:val="16"/>
                <w:szCs w:val="16"/>
              </w:rPr>
            </w:pPr>
          </w:p>
        </w:tc>
      </w:tr>
      <w:tr w:rsidR="003073A4">
        <w:trPr>
          <w:trHeight w:val="315"/>
        </w:trPr>
        <w:tc>
          <w:tcPr>
            <w:tcW w:w="1356" w:type="dxa"/>
            <w:shd w:val="clear" w:color="auto" w:fill="8496AF"/>
            <w:vAlign w:val="center"/>
          </w:tcPr>
          <w:p w:rsidR="003073A4" w:rsidRDefault="000545DD">
            <w:pPr>
              <w:rPr>
                <w:b/>
                <w:bCs/>
                <w:sz w:val="16"/>
                <w:szCs w:val="16"/>
              </w:rPr>
            </w:pPr>
            <w:r>
              <w:rPr>
                <w:b/>
                <w:bCs/>
                <w:sz w:val="16"/>
                <w:szCs w:val="16"/>
              </w:rPr>
              <w:lastRenderedPageBreak/>
              <w:t>Josevaldo Nergino de Sousa</w:t>
            </w:r>
          </w:p>
        </w:tc>
        <w:tc>
          <w:tcPr>
            <w:tcW w:w="1315" w:type="dxa"/>
            <w:shd w:val="clear" w:color="auto" w:fill="8496AF"/>
            <w:vAlign w:val="center"/>
          </w:tcPr>
          <w:p w:rsidR="003073A4" w:rsidRDefault="000545DD">
            <w:pPr>
              <w:rPr>
                <w:b/>
                <w:bCs/>
                <w:sz w:val="16"/>
                <w:szCs w:val="16"/>
              </w:rPr>
            </w:pPr>
            <w:r>
              <w:rPr>
                <w:b/>
                <w:bCs/>
                <w:sz w:val="16"/>
                <w:szCs w:val="16"/>
              </w:rPr>
              <w:t>Membro</w:t>
            </w:r>
          </w:p>
        </w:tc>
        <w:tc>
          <w:tcPr>
            <w:tcW w:w="1115" w:type="dxa"/>
            <w:shd w:val="clear" w:color="auto" w:fill="BEBEBE"/>
            <w:vAlign w:val="center"/>
          </w:tcPr>
          <w:p w:rsidR="003073A4" w:rsidRDefault="000545DD">
            <w:pPr>
              <w:jc w:val="center"/>
              <w:rPr>
                <w:sz w:val="16"/>
                <w:szCs w:val="16"/>
              </w:rPr>
            </w:pPr>
            <w:r>
              <w:rPr>
                <w:sz w:val="16"/>
                <w:szCs w:val="16"/>
              </w:rPr>
              <w:t>27.555,48</w:t>
            </w:r>
          </w:p>
        </w:tc>
        <w:tc>
          <w:tcPr>
            <w:tcW w:w="1115" w:type="dxa"/>
            <w:shd w:val="clear" w:color="auto" w:fill="BEBEBE"/>
            <w:vAlign w:val="center"/>
          </w:tcPr>
          <w:p w:rsidR="003073A4" w:rsidRDefault="000545DD">
            <w:pPr>
              <w:jc w:val="center"/>
              <w:rPr>
                <w:sz w:val="16"/>
                <w:szCs w:val="16"/>
              </w:rPr>
            </w:pPr>
            <w:r>
              <w:rPr>
                <w:sz w:val="16"/>
                <w:szCs w:val="16"/>
              </w:rPr>
              <w:t> </w:t>
            </w:r>
          </w:p>
        </w:tc>
        <w:tc>
          <w:tcPr>
            <w:tcW w:w="1115" w:type="dxa"/>
            <w:shd w:val="clear" w:color="auto" w:fill="BEBEBE"/>
            <w:vAlign w:val="center"/>
          </w:tcPr>
          <w:p w:rsidR="003073A4" w:rsidRDefault="000545DD">
            <w:pPr>
              <w:jc w:val="center"/>
              <w:rPr>
                <w:color w:val="FF0000"/>
                <w:sz w:val="16"/>
                <w:szCs w:val="16"/>
              </w:rPr>
            </w:pPr>
            <w:r>
              <w:rPr>
                <w:color w:val="FF0000"/>
                <w:sz w:val="16"/>
                <w:szCs w:val="16"/>
              </w:rPr>
              <w:t> </w:t>
            </w:r>
          </w:p>
        </w:tc>
        <w:tc>
          <w:tcPr>
            <w:tcW w:w="990" w:type="dxa"/>
            <w:shd w:val="clear" w:color="auto" w:fill="BEBEBE"/>
            <w:vAlign w:val="center"/>
          </w:tcPr>
          <w:p w:rsidR="003073A4" w:rsidRDefault="000545DD">
            <w:pPr>
              <w:jc w:val="center"/>
              <w:rPr>
                <w:color w:val="FF0000"/>
                <w:sz w:val="16"/>
                <w:szCs w:val="16"/>
              </w:rPr>
            </w:pPr>
            <w:r>
              <w:rPr>
                <w:color w:val="FF0000"/>
                <w:sz w:val="16"/>
                <w:szCs w:val="16"/>
              </w:rPr>
              <w:t> </w:t>
            </w:r>
          </w:p>
        </w:tc>
        <w:tc>
          <w:tcPr>
            <w:tcW w:w="865" w:type="dxa"/>
            <w:shd w:val="clear" w:color="auto" w:fill="BEBEBE"/>
            <w:vAlign w:val="center"/>
          </w:tcPr>
          <w:p w:rsidR="003073A4" w:rsidRDefault="000545DD">
            <w:pPr>
              <w:jc w:val="center"/>
              <w:rPr>
                <w:color w:val="FF0000"/>
                <w:sz w:val="16"/>
                <w:szCs w:val="16"/>
              </w:rPr>
            </w:pPr>
            <w:r>
              <w:rPr>
                <w:color w:val="FF0000"/>
                <w:sz w:val="16"/>
                <w:szCs w:val="16"/>
              </w:rPr>
              <w:t> </w:t>
            </w:r>
          </w:p>
        </w:tc>
        <w:tc>
          <w:tcPr>
            <w:tcW w:w="1049" w:type="dxa"/>
            <w:shd w:val="clear" w:color="auto" w:fill="BEBEBE"/>
            <w:vAlign w:val="center"/>
          </w:tcPr>
          <w:p w:rsidR="003073A4" w:rsidRDefault="000545DD">
            <w:pPr>
              <w:jc w:val="center"/>
              <w:rPr>
                <w:color w:val="FF0000"/>
                <w:sz w:val="16"/>
                <w:szCs w:val="16"/>
              </w:rPr>
            </w:pPr>
            <w:r>
              <w:rPr>
                <w:color w:val="FF0000"/>
                <w:sz w:val="16"/>
                <w:szCs w:val="16"/>
              </w:rPr>
              <w:t> </w:t>
            </w:r>
          </w:p>
        </w:tc>
      </w:tr>
      <w:tr w:rsidR="003073A4">
        <w:trPr>
          <w:trHeight w:val="315"/>
        </w:trPr>
        <w:tc>
          <w:tcPr>
            <w:tcW w:w="2671" w:type="dxa"/>
            <w:gridSpan w:val="2"/>
            <w:shd w:val="clear" w:color="auto" w:fill="44536A"/>
            <w:vAlign w:val="center"/>
          </w:tcPr>
          <w:p w:rsidR="003073A4" w:rsidRDefault="000545DD">
            <w:pPr>
              <w:jc w:val="center"/>
              <w:rPr>
                <w:color w:val="FF0000"/>
                <w:sz w:val="16"/>
                <w:szCs w:val="16"/>
              </w:rPr>
            </w:pPr>
            <w:r>
              <w:rPr>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FFFF"/>
                <w:sz w:val="16"/>
                <w:szCs w:val="16"/>
              </w:rPr>
              <w:t>73.481,28</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11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990"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865" w:type="dxa"/>
            <w:shd w:val="clear" w:color="auto" w:fill="44536A"/>
            <w:vAlign w:val="center"/>
          </w:tcPr>
          <w:p w:rsidR="003073A4" w:rsidRDefault="000545DD">
            <w:pPr>
              <w:jc w:val="center"/>
              <w:rPr>
                <w:b/>
                <w:bCs/>
                <w:color w:val="FF0000"/>
                <w:sz w:val="16"/>
                <w:szCs w:val="16"/>
              </w:rPr>
            </w:pPr>
            <w:r>
              <w:rPr>
                <w:b/>
                <w:bCs/>
                <w:color w:val="FF0000"/>
                <w:sz w:val="16"/>
                <w:szCs w:val="16"/>
              </w:rPr>
              <w:t> </w:t>
            </w:r>
          </w:p>
        </w:tc>
        <w:tc>
          <w:tcPr>
            <w:tcW w:w="1049" w:type="dxa"/>
            <w:shd w:val="clear" w:color="auto" w:fill="44536A"/>
            <w:vAlign w:val="center"/>
          </w:tcPr>
          <w:p w:rsidR="003073A4" w:rsidRDefault="000545DD">
            <w:pPr>
              <w:jc w:val="center"/>
              <w:rPr>
                <w:b/>
                <w:bCs/>
                <w:color w:val="FF0000"/>
                <w:sz w:val="16"/>
                <w:szCs w:val="16"/>
              </w:rPr>
            </w:pPr>
            <w:r>
              <w:rPr>
                <w:b/>
                <w:bCs/>
                <w:color w:val="FF0000"/>
                <w:sz w:val="16"/>
                <w:szCs w:val="16"/>
              </w:rPr>
              <w:t> </w:t>
            </w:r>
          </w:p>
        </w:tc>
      </w:tr>
      <w:tr w:rsidR="003073A4">
        <w:trPr>
          <w:trHeight w:val="315"/>
        </w:trPr>
        <w:tc>
          <w:tcPr>
            <w:tcW w:w="7871" w:type="dxa"/>
            <w:gridSpan w:val="7"/>
            <w:shd w:val="clear" w:color="auto" w:fill="44536A"/>
            <w:vAlign w:val="center"/>
          </w:tcPr>
          <w:p w:rsidR="003073A4" w:rsidRDefault="000545DD">
            <w:pPr>
              <w:jc w:val="right"/>
              <w:rPr>
                <w:b/>
                <w:bCs/>
                <w:color w:val="FFFFFF"/>
                <w:sz w:val="18"/>
                <w:szCs w:val="18"/>
              </w:rPr>
            </w:pPr>
            <w:r>
              <w:rPr>
                <w:b/>
                <w:bCs/>
                <w:color w:val="FFFFFF"/>
                <w:sz w:val="18"/>
                <w:szCs w:val="18"/>
              </w:rPr>
              <w:t xml:space="preserve">REMUNERAÇÃO TOTAL COMITÊ DE AUDITORIA </w:t>
            </w:r>
            <w:r>
              <w:rPr>
                <w:b/>
                <w:bCs/>
                <w:color w:val="FFFFFF"/>
                <w:sz w:val="16"/>
                <w:szCs w:val="16"/>
              </w:rPr>
              <w:t>(R$)</w:t>
            </w:r>
          </w:p>
        </w:tc>
        <w:tc>
          <w:tcPr>
            <w:tcW w:w="1049" w:type="dxa"/>
            <w:shd w:val="clear" w:color="auto" w:fill="44536A"/>
            <w:vAlign w:val="center"/>
          </w:tcPr>
          <w:p w:rsidR="003073A4" w:rsidRDefault="000545DD">
            <w:pPr>
              <w:jc w:val="center"/>
              <w:rPr>
                <w:b/>
                <w:bCs/>
                <w:color w:val="FFFFFF"/>
                <w:sz w:val="18"/>
                <w:szCs w:val="18"/>
              </w:rPr>
            </w:pPr>
            <w:r>
              <w:rPr>
                <w:b/>
                <w:bCs/>
                <w:color w:val="FFFFFF"/>
                <w:sz w:val="16"/>
                <w:szCs w:val="16"/>
              </w:rPr>
              <w:t>73.481,28</w:t>
            </w:r>
          </w:p>
        </w:tc>
      </w:tr>
      <w:tr w:rsidR="003073A4">
        <w:trPr>
          <w:trHeight w:val="315"/>
        </w:trPr>
        <w:tc>
          <w:tcPr>
            <w:tcW w:w="8920" w:type="dxa"/>
            <w:gridSpan w:val="8"/>
            <w:shd w:val="clear" w:color="auto" w:fill="44536A"/>
            <w:vAlign w:val="center"/>
          </w:tcPr>
          <w:p w:rsidR="003073A4" w:rsidRDefault="000545DD">
            <w:pPr>
              <w:rPr>
                <w:b/>
                <w:bCs/>
                <w:color w:val="FFFFFF"/>
                <w:sz w:val="18"/>
                <w:szCs w:val="18"/>
              </w:rPr>
            </w:pPr>
            <w:r>
              <w:rPr>
                <w:b/>
                <w:bCs/>
                <w:color w:val="FFFFFF"/>
                <w:sz w:val="18"/>
                <w:szCs w:val="18"/>
              </w:rPr>
              <w:t>* Consideram-se benefícios os valores de aux alimentação, plano de saúde e seguro de vida.</w:t>
            </w:r>
          </w:p>
        </w:tc>
      </w:tr>
    </w:tbl>
    <w:p w:rsidR="003073A4" w:rsidRDefault="000545DD">
      <w:pPr>
        <w:spacing w:before="240" w:after="120"/>
        <w:ind w:left="221" w:hanging="221"/>
        <w:rPr>
          <w:color w:val="000000"/>
          <w:sz w:val="18"/>
          <w:szCs w:val="18"/>
        </w:rPr>
      </w:pPr>
      <w:r>
        <w:rPr>
          <w:color w:val="000000"/>
          <w:sz w:val="18"/>
          <w:szCs w:val="18"/>
        </w:rPr>
        <w:t>Fonte: CODREH – Coordenadoria de Recursos Humanos (2026)</w:t>
      </w:r>
    </w:p>
    <w:p w:rsidR="003073A4" w:rsidRDefault="003073A4">
      <w:pPr>
        <w:spacing w:before="240" w:after="120"/>
        <w:ind w:left="221" w:hanging="221"/>
        <w:rPr>
          <w:color w:val="FF0000"/>
          <w:sz w:val="18"/>
          <w:szCs w:val="18"/>
        </w:rPr>
      </w:pPr>
    </w:p>
    <w:p w:rsidR="003073A4" w:rsidRDefault="000545DD">
      <w:pPr>
        <w:pBdr>
          <w:top w:val="nil"/>
          <w:left w:val="nil"/>
          <w:bottom w:val="nil"/>
          <w:right w:val="nil"/>
          <w:between w:val="nil"/>
        </w:pBdr>
        <w:spacing w:before="120" w:after="120" w:line="360" w:lineRule="auto"/>
        <w:ind w:right="195"/>
        <w:jc w:val="both"/>
        <w:rPr>
          <w:color w:val="FF0000"/>
        </w:rPr>
      </w:pPr>
      <w:r>
        <w:rPr>
          <w:color w:val="000000"/>
        </w:rPr>
        <w:t>No exercício de 2025, a Companhia Docas do Ceará propôs o Programa de Remuneração Variável (RVA) dos membros da sua Diretoria Executiva, que foi aprovado pelo Conselho de Administração, por meio da Deliberação nº 26/2025, de 23/04/2025, tendo o citado programa sido alterado, considerando as recomendações da Secretaria de Coordenação e Governança das Empresas Estatais (SEST) contidas no ofício SEI nº 116590/2025/MGI e na Nota Técnica nº 36488/2025/MGI, e novamente aprovado pelo CONSAD, por meio da Deliberação nº 65/2025, de 05/12/2025.</w:t>
      </w:r>
    </w:p>
    <w:p w:rsidR="003073A4" w:rsidRDefault="000545DD">
      <w:pPr>
        <w:pBdr>
          <w:top w:val="nil"/>
          <w:left w:val="nil"/>
          <w:bottom w:val="nil"/>
          <w:right w:val="nil"/>
          <w:between w:val="nil"/>
        </w:pBdr>
        <w:spacing w:before="120" w:after="120" w:line="360" w:lineRule="auto"/>
        <w:ind w:right="195"/>
        <w:jc w:val="both"/>
        <w:rPr>
          <w:color w:val="000000"/>
        </w:rPr>
      </w:pPr>
      <w:r>
        <w:rPr>
          <w:color w:val="000000"/>
        </w:rPr>
        <w:t>Considerando as especificações do parágrafo 5º do art. 37 do Decreto nº 8.945/2016, o Programa tem como objetivo promover a implementação da estratégia da empresa e o atingimento dos resultados desejados, através da vinculação de parcela acrescida à remuneração anual dos membros da Diretoria Executiva da Companhia, considerando o seu desempenho e, ainda, a responsabilidade, o tempo dedicado à função, a competência e reputação profissional dos seus diretores. Para tal, conta com os seguintes indicadores:</w:t>
      </w:r>
    </w:p>
    <w:p w:rsidR="003073A4" w:rsidRDefault="003073A4">
      <w:pPr>
        <w:pBdr>
          <w:top w:val="nil"/>
          <w:left w:val="nil"/>
          <w:bottom w:val="nil"/>
          <w:right w:val="nil"/>
          <w:between w:val="nil"/>
        </w:pBdr>
        <w:spacing w:before="120" w:after="120" w:line="360" w:lineRule="auto"/>
        <w:ind w:right="195"/>
        <w:jc w:val="both"/>
        <w:rPr>
          <w:color w:val="FF0000"/>
          <w:sz w:val="4"/>
          <w:szCs w:val="4"/>
        </w:rPr>
      </w:pPr>
    </w:p>
    <w:p w:rsidR="003073A4" w:rsidRDefault="000545DD">
      <w:pPr>
        <w:pBdr>
          <w:top w:val="nil"/>
          <w:left w:val="nil"/>
          <w:bottom w:val="nil"/>
          <w:right w:val="nil"/>
          <w:between w:val="nil"/>
        </w:pBdr>
        <w:spacing w:before="120" w:after="120"/>
        <w:ind w:left="709" w:hanging="709"/>
        <w:jc w:val="both"/>
        <w:rPr>
          <w:color w:val="000000"/>
          <w:sz w:val="32"/>
          <w:szCs w:val="32"/>
        </w:rPr>
      </w:pPr>
      <w:r>
        <w:rPr>
          <w:color w:val="000000"/>
          <w:sz w:val="18"/>
          <w:szCs w:val="18"/>
        </w:rPr>
        <w:t>Tabela 18 – Indicadores e metas do programa de Remuneração Varíavel de 2025 da CDC</w:t>
      </w:r>
    </w:p>
    <w:tbl>
      <w:tblPr>
        <w:tblStyle w:val="af4"/>
        <w:tblW w:w="94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977"/>
        <w:gridCol w:w="3119"/>
        <w:gridCol w:w="708"/>
        <w:gridCol w:w="905"/>
        <w:gridCol w:w="649"/>
      </w:tblGrid>
      <w:tr w:rsidR="003073A4">
        <w:trPr>
          <w:trHeight w:val="315"/>
        </w:trPr>
        <w:tc>
          <w:tcPr>
            <w:tcW w:w="1134" w:type="dxa"/>
            <w:shd w:val="clear" w:color="auto" w:fill="203764"/>
            <w:vAlign w:val="center"/>
          </w:tcPr>
          <w:p w:rsidR="003073A4" w:rsidRDefault="000545DD">
            <w:pPr>
              <w:widowControl/>
              <w:jc w:val="center"/>
              <w:rPr>
                <w:b/>
                <w:bCs/>
                <w:color w:val="FFFFFF"/>
                <w:sz w:val="18"/>
                <w:szCs w:val="18"/>
              </w:rPr>
            </w:pPr>
            <w:r>
              <w:rPr>
                <w:b/>
                <w:bCs/>
                <w:color w:val="FFFFFF"/>
                <w:sz w:val="18"/>
                <w:szCs w:val="18"/>
              </w:rPr>
              <w:t>Dimensões</w:t>
            </w:r>
          </w:p>
        </w:tc>
        <w:tc>
          <w:tcPr>
            <w:tcW w:w="2977" w:type="dxa"/>
            <w:shd w:val="clear" w:color="auto" w:fill="203764"/>
            <w:vAlign w:val="center"/>
          </w:tcPr>
          <w:p w:rsidR="003073A4" w:rsidRDefault="000545DD">
            <w:pPr>
              <w:widowControl/>
              <w:jc w:val="center"/>
              <w:rPr>
                <w:b/>
                <w:bCs/>
                <w:color w:val="FFFFFF"/>
                <w:sz w:val="18"/>
                <w:szCs w:val="18"/>
              </w:rPr>
            </w:pPr>
            <w:r>
              <w:rPr>
                <w:b/>
                <w:bCs/>
                <w:color w:val="FFFFFF"/>
                <w:sz w:val="18"/>
                <w:szCs w:val="18"/>
              </w:rPr>
              <w:t>Indicador</w:t>
            </w:r>
          </w:p>
        </w:tc>
        <w:tc>
          <w:tcPr>
            <w:tcW w:w="3119" w:type="dxa"/>
            <w:shd w:val="clear" w:color="auto" w:fill="203764"/>
            <w:vAlign w:val="center"/>
          </w:tcPr>
          <w:p w:rsidR="003073A4" w:rsidRDefault="000545DD">
            <w:pPr>
              <w:widowControl/>
              <w:jc w:val="center"/>
              <w:rPr>
                <w:b/>
                <w:bCs/>
                <w:color w:val="FFFFFF"/>
                <w:sz w:val="18"/>
                <w:szCs w:val="18"/>
              </w:rPr>
            </w:pPr>
            <w:r>
              <w:rPr>
                <w:b/>
                <w:bCs/>
                <w:color w:val="FFFFFF"/>
                <w:sz w:val="18"/>
                <w:szCs w:val="18"/>
              </w:rPr>
              <w:t>Fórmula de Cálculo</w:t>
            </w:r>
          </w:p>
        </w:tc>
        <w:tc>
          <w:tcPr>
            <w:tcW w:w="708" w:type="dxa"/>
            <w:shd w:val="clear" w:color="auto" w:fill="203764"/>
            <w:vAlign w:val="center"/>
          </w:tcPr>
          <w:p w:rsidR="003073A4" w:rsidRDefault="000545DD">
            <w:pPr>
              <w:widowControl/>
              <w:jc w:val="center"/>
              <w:rPr>
                <w:b/>
                <w:bCs/>
                <w:color w:val="FFFFFF"/>
                <w:sz w:val="18"/>
                <w:szCs w:val="18"/>
              </w:rPr>
            </w:pPr>
            <w:r>
              <w:rPr>
                <w:b/>
                <w:bCs/>
                <w:color w:val="FFFFFF"/>
                <w:sz w:val="18"/>
                <w:szCs w:val="18"/>
              </w:rPr>
              <w:t>Meta</w:t>
            </w:r>
          </w:p>
        </w:tc>
        <w:tc>
          <w:tcPr>
            <w:tcW w:w="905" w:type="dxa"/>
            <w:shd w:val="clear" w:color="auto" w:fill="203764"/>
          </w:tcPr>
          <w:p w:rsidR="003073A4" w:rsidRDefault="000545DD">
            <w:pPr>
              <w:widowControl/>
              <w:jc w:val="center"/>
              <w:rPr>
                <w:b/>
                <w:bCs/>
                <w:color w:val="FFFFFF"/>
                <w:sz w:val="18"/>
                <w:szCs w:val="18"/>
              </w:rPr>
            </w:pPr>
            <w:r>
              <w:rPr>
                <w:b/>
                <w:bCs/>
                <w:color w:val="FFFFFF"/>
                <w:sz w:val="18"/>
                <w:szCs w:val="18"/>
              </w:rPr>
              <w:t>Un.</w:t>
            </w:r>
          </w:p>
        </w:tc>
        <w:tc>
          <w:tcPr>
            <w:tcW w:w="649" w:type="dxa"/>
            <w:shd w:val="clear" w:color="auto" w:fill="203764"/>
            <w:vAlign w:val="center"/>
          </w:tcPr>
          <w:p w:rsidR="003073A4" w:rsidRDefault="000545DD">
            <w:pPr>
              <w:widowControl/>
              <w:jc w:val="center"/>
              <w:rPr>
                <w:b/>
                <w:bCs/>
                <w:color w:val="FFFFFF"/>
                <w:sz w:val="18"/>
                <w:szCs w:val="18"/>
              </w:rPr>
            </w:pPr>
            <w:r>
              <w:rPr>
                <w:b/>
                <w:bCs/>
                <w:color w:val="FFFFFF"/>
                <w:sz w:val="18"/>
                <w:szCs w:val="18"/>
              </w:rPr>
              <w:t>Peso</w:t>
            </w:r>
          </w:p>
        </w:tc>
      </w:tr>
      <w:tr w:rsidR="003073A4">
        <w:trPr>
          <w:trHeight w:val="660"/>
        </w:trPr>
        <w:tc>
          <w:tcPr>
            <w:tcW w:w="1134" w:type="dxa"/>
            <w:vMerge w:val="restart"/>
            <w:shd w:val="clear" w:color="auto" w:fill="8496AF"/>
            <w:vAlign w:val="center"/>
          </w:tcPr>
          <w:p w:rsidR="003073A4" w:rsidRDefault="000545DD">
            <w:pPr>
              <w:widowControl/>
              <w:jc w:val="center"/>
              <w:rPr>
                <w:b/>
                <w:bCs/>
                <w:sz w:val="18"/>
                <w:szCs w:val="18"/>
              </w:rPr>
            </w:pPr>
            <w:r>
              <w:rPr>
                <w:b/>
                <w:bCs/>
                <w:sz w:val="18"/>
                <w:szCs w:val="18"/>
              </w:rPr>
              <w:t>Econômico Financeiro</w:t>
            </w:r>
          </w:p>
        </w:tc>
        <w:tc>
          <w:tcPr>
            <w:tcW w:w="2977" w:type="dxa"/>
            <w:shd w:val="clear" w:color="auto" w:fill="8496AF"/>
            <w:vAlign w:val="center"/>
          </w:tcPr>
          <w:p w:rsidR="003073A4" w:rsidRDefault="000545DD">
            <w:pPr>
              <w:widowControl/>
              <w:rPr>
                <w:b/>
                <w:bCs/>
                <w:sz w:val="18"/>
                <w:szCs w:val="18"/>
              </w:rPr>
            </w:pPr>
            <w:r>
              <w:rPr>
                <w:b/>
                <w:bCs/>
                <w:sz w:val="18"/>
                <w:szCs w:val="18"/>
              </w:rPr>
              <w:t>EBTIDA</w:t>
            </w:r>
          </w:p>
        </w:tc>
        <w:tc>
          <w:tcPr>
            <w:tcW w:w="3119" w:type="dxa"/>
            <w:shd w:val="clear" w:color="auto" w:fill="BEBEBE"/>
            <w:vAlign w:val="center"/>
          </w:tcPr>
          <w:p w:rsidR="003073A4" w:rsidRDefault="000545DD">
            <w:pPr>
              <w:widowControl/>
              <w:rPr>
                <w:sz w:val="18"/>
                <w:szCs w:val="18"/>
              </w:rPr>
            </w:pPr>
            <w:r>
              <w:rPr>
                <w:sz w:val="18"/>
                <w:szCs w:val="18"/>
              </w:rPr>
              <w:t xml:space="preserve"> Resultado antes IR- Amortização - Depreciação - Variações monetárias - outros custos</w:t>
            </w:r>
          </w:p>
        </w:tc>
        <w:tc>
          <w:tcPr>
            <w:tcW w:w="708" w:type="dxa"/>
            <w:shd w:val="clear" w:color="auto" w:fill="BEBEBE"/>
            <w:vAlign w:val="center"/>
          </w:tcPr>
          <w:p w:rsidR="003073A4" w:rsidRDefault="000545DD">
            <w:pPr>
              <w:widowControl/>
              <w:jc w:val="center"/>
              <w:rPr>
                <w:sz w:val="18"/>
                <w:szCs w:val="18"/>
              </w:rPr>
            </w:pPr>
            <w:r>
              <w:rPr>
                <w:sz w:val="18"/>
                <w:szCs w:val="18"/>
              </w:rPr>
              <w:t>10.783</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R$ mil</w:t>
            </w:r>
          </w:p>
        </w:tc>
        <w:tc>
          <w:tcPr>
            <w:tcW w:w="649" w:type="dxa"/>
            <w:shd w:val="clear" w:color="auto" w:fill="BEBEBE"/>
            <w:vAlign w:val="center"/>
          </w:tcPr>
          <w:p w:rsidR="003073A4" w:rsidRDefault="000545DD">
            <w:pPr>
              <w:widowControl/>
              <w:jc w:val="center"/>
              <w:rPr>
                <w:sz w:val="18"/>
                <w:szCs w:val="18"/>
              </w:rPr>
            </w:pPr>
            <w:r>
              <w:rPr>
                <w:sz w:val="18"/>
                <w:szCs w:val="18"/>
              </w:rPr>
              <w:t>10%</w:t>
            </w:r>
          </w:p>
        </w:tc>
      </w:tr>
      <w:tr w:rsidR="003073A4">
        <w:trPr>
          <w:trHeight w:val="465"/>
        </w:trPr>
        <w:tc>
          <w:tcPr>
            <w:tcW w:w="1134" w:type="dxa"/>
            <w:vMerge/>
            <w:shd w:val="clear" w:color="auto" w:fill="8496AF"/>
            <w:vAlign w:val="center"/>
          </w:tcPr>
          <w:p w:rsidR="003073A4" w:rsidRDefault="003073A4">
            <w:pPr>
              <w:pBdr>
                <w:top w:val="nil"/>
                <w:left w:val="nil"/>
                <w:bottom w:val="nil"/>
                <w:right w:val="nil"/>
                <w:between w:val="nil"/>
              </w:pBdr>
              <w:spacing w:line="276" w:lineRule="auto"/>
              <w:rPr>
                <w:sz w:val="18"/>
                <w:szCs w:val="18"/>
              </w:rPr>
            </w:pPr>
          </w:p>
        </w:tc>
        <w:tc>
          <w:tcPr>
            <w:tcW w:w="2977" w:type="dxa"/>
            <w:shd w:val="clear" w:color="auto" w:fill="8496AF"/>
            <w:vAlign w:val="center"/>
          </w:tcPr>
          <w:p w:rsidR="003073A4" w:rsidRDefault="000545DD">
            <w:pPr>
              <w:widowControl/>
              <w:rPr>
                <w:b/>
                <w:bCs/>
                <w:sz w:val="18"/>
                <w:szCs w:val="18"/>
              </w:rPr>
            </w:pPr>
            <w:r>
              <w:rPr>
                <w:b/>
                <w:bCs/>
                <w:sz w:val="18"/>
                <w:szCs w:val="18"/>
              </w:rPr>
              <w:t>Eficiência Administrativa</w:t>
            </w:r>
          </w:p>
        </w:tc>
        <w:tc>
          <w:tcPr>
            <w:tcW w:w="3119" w:type="dxa"/>
            <w:shd w:val="clear" w:color="auto" w:fill="BEBEBE"/>
            <w:vAlign w:val="center"/>
          </w:tcPr>
          <w:p w:rsidR="003073A4" w:rsidRDefault="000545DD">
            <w:pPr>
              <w:widowControl/>
              <w:rPr>
                <w:sz w:val="18"/>
                <w:szCs w:val="18"/>
              </w:rPr>
            </w:pPr>
            <w:r>
              <w:rPr>
                <w:sz w:val="18"/>
                <w:szCs w:val="18"/>
              </w:rPr>
              <w:t>(Despesa administrativa - Despesa com pessoal / Receita operacional líquida)</w:t>
            </w:r>
          </w:p>
        </w:tc>
        <w:tc>
          <w:tcPr>
            <w:tcW w:w="708" w:type="dxa"/>
            <w:shd w:val="clear" w:color="auto" w:fill="BEBEBE"/>
            <w:vAlign w:val="center"/>
          </w:tcPr>
          <w:p w:rsidR="003073A4" w:rsidRDefault="000545DD">
            <w:pPr>
              <w:widowControl/>
              <w:jc w:val="center"/>
              <w:rPr>
                <w:sz w:val="18"/>
                <w:szCs w:val="18"/>
              </w:rPr>
            </w:pPr>
            <w:r>
              <w:rPr>
                <w:sz w:val="18"/>
                <w:szCs w:val="18"/>
              </w:rPr>
              <w:t>0,25</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índice</w:t>
            </w:r>
          </w:p>
        </w:tc>
        <w:tc>
          <w:tcPr>
            <w:tcW w:w="649" w:type="dxa"/>
            <w:shd w:val="clear" w:color="auto" w:fill="BEBEBE"/>
            <w:vAlign w:val="center"/>
          </w:tcPr>
          <w:p w:rsidR="003073A4" w:rsidRDefault="000545DD">
            <w:pPr>
              <w:widowControl/>
              <w:jc w:val="center"/>
              <w:rPr>
                <w:sz w:val="18"/>
                <w:szCs w:val="18"/>
              </w:rPr>
            </w:pPr>
            <w:r>
              <w:rPr>
                <w:sz w:val="18"/>
                <w:szCs w:val="18"/>
              </w:rPr>
              <w:t>5%</w:t>
            </w:r>
          </w:p>
        </w:tc>
      </w:tr>
      <w:tr w:rsidR="003073A4">
        <w:trPr>
          <w:trHeight w:val="418"/>
        </w:trPr>
        <w:tc>
          <w:tcPr>
            <w:tcW w:w="1134" w:type="dxa"/>
            <w:vMerge/>
            <w:shd w:val="clear" w:color="auto" w:fill="8496AF"/>
            <w:vAlign w:val="center"/>
          </w:tcPr>
          <w:p w:rsidR="003073A4" w:rsidRDefault="003073A4">
            <w:pPr>
              <w:pBdr>
                <w:top w:val="nil"/>
                <w:left w:val="nil"/>
                <w:bottom w:val="nil"/>
                <w:right w:val="nil"/>
                <w:between w:val="nil"/>
              </w:pBdr>
              <w:spacing w:line="276" w:lineRule="auto"/>
              <w:rPr>
                <w:sz w:val="18"/>
                <w:szCs w:val="18"/>
              </w:rPr>
            </w:pPr>
          </w:p>
        </w:tc>
        <w:tc>
          <w:tcPr>
            <w:tcW w:w="2977" w:type="dxa"/>
            <w:shd w:val="clear" w:color="auto" w:fill="8496AF"/>
            <w:vAlign w:val="center"/>
          </w:tcPr>
          <w:p w:rsidR="003073A4" w:rsidRDefault="000545DD">
            <w:pPr>
              <w:widowControl/>
              <w:rPr>
                <w:b/>
                <w:bCs/>
                <w:sz w:val="18"/>
                <w:szCs w:val="18"/>
              </w:rPr>
            </w:pPr>
            <w:r>
              <w:rPr>
                <w:b/>
                <w:bCs/>
                <w:sz w:val="18"/>
                <w:szCs w:val="18"/>
              </w:rPr>
              <w:t>Execução dos investimentos previstos na LOA 2025</w:t>
            </w:r>
          </w:p>
        </w:tc>
        <w:tc>
          <w:tcPr>
            <w:tcW w:w="3119" w:type="dxa"/>
            <w:shd w:val="clear" w:color="auto" w:fill="BEBEBE"/>
            <w:vAlign w:val="center"/>
          </w:tcPr>
          <w:p w:rsidR="003073A4" w:rsidRDefault="000545DD">
            <w:pPr>
              <w:widowControl/>
              <w:rPr>
                <w:sz w:val="18"/>
                <w:szCs w:val="18"/>
              </w:rPr>
            </w:pPr>
            <w:r>
              <w:rPr>
                <w:sz w:val="18"/>
                <w:szCs w:val="18"/>
              </w:rPr>
              <w:t>(Valor Executado LOA 2025 / Valor Aprovado LOA 2025)*100</w:t>
            </w:r>
          </w:p>
        </w:tc>
        <w:tc>
          <w:tcPr>
            <w:tcW w:w="708" w:type="dxa"/>
            <w:shd w:val="clear" w:color="auto" w:fill="BEBEBE"/>
            <w:vAlign w:val="center"/>
          </w:tcPr>
          <w:p w:rsidR="003073A4" w:rsidRDefault="000545DD">
            <w:pPr>
              <w:widowControl/>
              <w:jc w:val="center"/>
              <w:rPr>
                <w:sz w:val="18"/>
                <w:szCs w:val="18"/>
              </w:rPr>
            </w:pPr>
            <w:r>
              <w:rPr>
                <w:sz w:val="18"/>
                <w:szCs w:val="18"/>
              </w:rPr>
              <w:t>26</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w:t>
            </w:r>
          </w:p>
        </w:tc>
        <w:tc>
          <w:tcPr>
            <w:tcW w:w="649" w:type="dxa"/>
            <w:shd w:val="clear" w:color="auto" w:fill="BEBEBE"/>
            <w:vAlign w:val="center"/>
          </w:tcPr>
          <w:p w:rsidR="003073A4" w:rsidRDefault="000545DD">
            <w:pPr>
              <w:widowControl/>
              <w:jc w:val="center"/>
              <w:rPr>
                <w:sz w:val="18"/>
                <w:szCs w:val="18"/>
              </w:rPr>
            </w:pPr>
            <w:r>
              <w:rPr>
                <w:sz w:val="18"/>
                <w:szCs w:val="18"/>
              </w:rPr>
              <w:t>10%</w:t>
            </w:r>
          </w:p>
        </w:tc>
      </w:tr>
      <w:tr w:rsidR="003073A4">
        <w:trPr>
          <w:trHeight w:val="418"/>
        </w:trPr>
        <w:tc>
          <w:tcPr>
            <w:tcW w:w="1134" w:type="dxa"/>
            <w:vMerge/>
            <w:shd w:val="clear" w:color="auto" w:fill="8496AF"/>
            <w:vAlign w:val="center"/>
          </w:tcPr>
          <w:p w:rsidR="003073A4" w:rsidRDefault="003073A4">
            <w:pPr>
              <w:pBdr>
                <w:top w:val="nil"/>
                <w:left w:val="nil"/>
                <w:bottom w:val="nil"/>
                <w:right w:val="nil"/>
                <w:between w:val="nil"/>
              </w:pBdr>
              <w:spacing w:line="276" w:lineRule="auto"/>
              <w:rPr>
                <w:sz w:val="18"/>
                <w:szCs w:val="18"/>
              </w:rPr>
            </w:pPr>
          </w:p>
        </w:tc>
        <w:tc>
          <w:tcPr>
            <w:tcW w:w="2977" w:type="dxa"/>
            <w:shd w:val="clear" w:color="auto" w:fill="8496AF"/>
            <w:vAlign w:val="center"/>
          </w:tcPr>
          <w:p w:rsidR="003073A4" w:rsidRDefault="000545DD">
            <w:pPr>
              <w:widowControl/>
              <w:rPr>
                <w:b/>
                <w:bCs/>
                <w:sz w:val="18"/>
                <w:szCs w:val="18"/>
              </w:rPr>
            </w:pPr>
            <w:r>
              <w:rPr>
                <w:b/>
                <w:bCs/>
                <w:sz w:val="18"/>
                <w:szCs w:val="18"/>
              </w:rPr>
              <w:t>Eficiência Operacional</w:t>
            </w:r>
          </w:p>
        </w:tc>
        <w:tc>
          <w:tcPr>
            <w:tcW w:w="3119" w:type="dxa"/>
            <w:shd w:val="clear" w:color="auto" w:fill="BEBEBE"/>
            <w:vAlign w:val="center"/>
          </w:tcPr>
          <w:p w:rsidR="003073A4" w:rsidRDefault="000545DD">
            <w:pPr>
              <w:widowControl/>
              <w:rPr>
                <w:sz w:val="18"/>
                <w:szCs w:val="18"/>
              </w:rPr>
            </w:pPr>
            <w:r>
              <w:rPr>
                <w:sz w:val="18"/>
                <w:szCs w:val="18"/>
              </w:rPr>
              <w:t xml:space="preserve">(Despesa total com pessoal / receita operacional líquida) </w:t>
            </w:r>
          </w:p>
        </w:tc>
        <w:tc>
          <w:tcPr>
            <w:tcW w:w="708" w:type="dxa"/>
            <w:shd w:val="clear" w:color="auto" w:fill="BEBEBE"/>
            <w:vAlign w:val="center"/>
          </w:tcPr>
          <w:p w:rsidR="003073A4" w:rsidRDefault="000545DD">
            <w:pPr>
              <w:widowControl/>
              <w:jc w:val="center"/>
              <w:rPr>
                <w:sz w:val="18"/>
                <w:szCs w:val="18"/>
              </w:rPr>
            </w:pPr>
            <w:r>
              <w:rPr>
                <w:sz w:val="18"/>
                <w:szCs w:val="18"/>
              </w:rPr>
              <w:t>0,32</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índice</w:t>
            </w:r>
          </w:p>
        </w:tc>
        <w:tc>
          <w:tcPr>
            <w:tcW w:w="649" w:type="dxa"/>
            <w:shd w:val="clear" w:color="auto" w:fill="BEBEBE"/>
            <w:vAlign w:val="center"/>
          </w:tcPr>
          <w:p w:rsidR="003073A4" w:rsidRDefault="000545DD">
            <w:pPr>
              <w:widowControl/>
              <w:jc w:val="center"/>
              <w:rPr>
                <w:sz w:val="18"/>
                <w:szCs w:val="18"/>
              </w:rPr>
            </w:pPr>
            <w:r>
              <w:rPr>
                <w:sz w:val="18"/>
                <w:szCs w:val="18"/>
              </w:rPr>
              <w:t>5%</w:t>
            </w:r>
          </w:p>
        </w:tc>
      </w:tr>
      <w:tr w:rsidR="003073A4">
        <w:trPr>
          <w:trHeight w:val="660"/>
        </w:trPr>
        <w:tc>
          <w:tcPr>
            <w:tcW w:w="1134" w:type="dxa"/>
            <w:vMerge w:val="restart"/>
            <w:shd w:val="clear" w:color="auto" w:fill="8496AF"/>
            <w:vAlign w:val="center"/>
          </w:tcPr>
          <w:p w:rsidR="003073A4" w:rsidRDefault="000545DD">
            <w:pPr>
              <w:widowControl/>
              <w:jc w:val="center"/>
              <w:rPr>
                <w:b/>
                <w:bCs/>
                <w:sz w:val="18"/>
                <w:szCs w:val="18"/>
              </w:rPr>
            </w:pPr>
            <w:r>
              <w:rPr>
                <w:b/>
                <w:bCs/>
                <w:sz w:val="18"/>
                <w:szCs w:val="18"/>
              </w:rPr>
              <w:t>Políticas Públicas</w:t>
            </w:r>
          </w:p>
        </w:tc>
        <w:tc>
          <w:tcPr>
            <w:tcW w:w="2977" w:type="dxa"/>
            <w:shd w:val="clear" w:color="auto" w:fill="8496AF"/>
            <w:vAlign w:val="center"/>
          </w:tcPr>
          <w:p w:rsidR="003073A4" w:rsidRDefault="000545DD">
            <w:pPr>
              <w:widowControl/>
              <w:rPr>
                <w:b/>
                <w:bCs/>
                <w:sz w:val="18"/>
                <w:szCs w:val="18"/>
              </w:rPr>
            </w:pPr>
            <w:r>
              <w:rPr>
                <w:b/>
                <w:bCs/>
                <w:sz w:val="18"/>
                <w:szCs w:val="18"/>
              </w:rPr>
              <w:t>Movimentação de cargas</w:t>
            </w:r>
          </w:p>
        </w:tc>
        <w:tc>
          <w:tcPr>
            <w:tcW w:w="3119" w:type="dxa"/>
            <w:shd w:val="clear" w:color="auto" w:fill="BEBEBE"/>
            <w:vAlign w:val="center"/>
          </w:tcPr>
          <w:p w:rsidR="003073A4" w:rsidRDefault="000545DD">
            <w:pPr>
              <w:widowControl/>
              <w:rPr>
                <w:sz w:val="18"/>
                <w:szCs w:val="18"/>
              </w:rPr>
            </w:pPr>
            <w:r>
              <w:rPr>
                <w:sz w:val="18"/>
                <w:szCs w:val="18"/>
              </w:rPr>
              <w:t>(Total movimentado no período - Total movimentado no período anterior / Total movimentado no período anterior) *100</w:t>
            </w:r>
          </w:p>
        </w:tc>
        <w:tc>
          <w:tcPr>
            <w:tcW w:w="708" w:type="dxa"/>
            <w:shd w:val="clear" w:color="auto" w:fill="BEBEBE"/>
            <w:vAlign w:val="center"/>
          </w:tcPr>
          <w:p w:rsidR="003073A4" w:rsidRDefault="000545DD">
            <w:pPr>
              <w:widowControl/>
              <w:jc w:val="center"/>
              <w:rPr>
                <w:sz w:val="18"/>
                <w:szCs w:val="18"/>
              </w:rPr>
            </w:pPr>
            <w:r>
              <w:rPr>
                <w:sz w:val="18"/>
                <w:szCs w:val="18"/>
              </w:rPr>
              <w:t>0,13</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w:t>
            </w:r>
          </w:p>
        </w:tc>
        <w:tc>
          <w:tcPr>
            <w:tcW w:w="649" w:type="dxa"/>
            <w:shd w:val="clear" w:color="auto" w:fill="BEBEBE"/>
            <w:vAlign w:val="center"/>
          </w:tcPr>
          <w:p w:rsidR="003073A4" w:rsidRDefault="000545DD">
            <w:pPr>
              <w:widowControl/>
              <w:jc w:val="center"/>
              <w:rPr>
                <w:sz w:val="18"/>
                <w:szCs w:val="18"/>
              </w:rPr>
            </w:pPr>
            <w:r>
              <w:rPr>
                <w:sz w:val="18"/>
                <w:szCs w:val="18"/>
              </w:rPr>
              <w:t>25%</w:t>
            </w:r>
          </w:p>
        </w:tc>
      </w:tr>
      <w:tr w:rsidR="003073A4">
        <w:trPr>
          <w:trHeight w:val="660"/>
        </w:trPr>
        <w:tc>
          <w:tcPr>
            <w:tcW w:w="1134" w:type="dxa"/>
            <w:vMerge/>
            <w:shd w:val="clear" w:color="auto" w:fill="8496AF"/>
            <w:vAlign w:val="center"/>
          </w:tcPr>
          <w:p w:rsidR="003073A4" w:rsidRDefault="003073A4">
            <w:pPr>
              <w:pBdr>
                <w:top w:val="nil"/>
                <w:left w:val="nil"/>
                <w:bottom w:val="nil"/>
                <w:right w:val="nil"/>
                <w:between w:val="nil"/>
              </w:pBdr>
              <w:spacing w:line="276" w:lineRule="auto"/>
              <w:rPr>
                <w:sz w:val="18"/>
                <w:szCs w:val="18"/>
              </w:rPr>
            </w:pPr>
          </w:p>
        </w:tc>
        <w:tc>
          <w:tcPr>
            <w:tcW w:w="2977" w:type="dxa"/>
            <w:shd w:val="clear" w:color="auto" w:fill="8496AF"/>
            <w:vAlign w:val="center"/>
          </w:tcPr>
          <w:p w:rsidR="003073A4" w:rsidRDefault="000545DD">
            <w:pPr>
              <w:widowControl/>
              <w:rPr>
                <w:b/>
                <w:bCs/>
                <w:sz w:val="18"/>
                <w:szCs w:val="18"/>
              </w:rPr>
            </w:pPr>
            <w:r>
              <w:rPr>
                <w:b/>
                <w:bCs/>
                <w:sz w:val="18"/>
                <w:szCs w:val="18"/>
              </w:rPr>
              <w:t>Variação do Índice de Desempenho Ambiental (IDA)</w:t>
            </w:r>
          </w:p>
        </w:tc>
        <w:tc>
          <w:tcPr>
            <w:tcW w:w="3119" w:type="dxa"/>
            <w:shd w:val="clear" w:color="auto" w:fill="BEBEBE"/>
            <w:vAlign w:val="center"/>
          </w:tcPr>
          <w:p w:rsidR="003073A4" w:rsidRDefault="000545DD">
            <w:pPr>
              <w:widowControl/>
              <w:rPr>
                <w:sz w:val="18"/>
                <w:szCs w:val="18"/>
              </w:rPr>
            </w:pPr>
            <w:r>
              <w:rPr>
                <w:sz w:val="18"/>
                <w:szCs w:val="18"/>
              </w:rPr>
              <w:t>(Última pontuação auferida do IDA – penúltima pontuação do IDA)/penúltima pontuação do IDA*100</w:t>
            </w:r>
          </w:p>
        </w:tc>
        <w:tc>
          <w:tcPr>
            <w:tcW w:w="708" w:type="dxa"/>
            <w:shd w:val="clear" w:color="auto" w:fill="BEBEBE"/>
            <w:vAlign w:val="center"/>
          </w:tcPr>
          <w:p w:rsidR="003073A4" w:rsidRDefault="000545DD">
            <w:pPr>
              <w:widowControl/>
              <w:jc w:val="center"/>
              <w:rPr>
                <w:sz w:val="18"/>
                <w:szCs w:val="18"/>
              </w:rPr>
            </w:pPr>
            <w:r>
              <w:rPr>
                <w:sz w:val="18"/>
                <w:szCs w:val="18"/>
              </w:rPr>
              <w:t>2</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w:t>
            </w:r>
          </w:p>
        </w:tc>
        <w:tc>
          <w:tcPr>
            <w:tcW w:w="649" w:type="dxa"/>
            <w:shd w:val="clear" w:color="auto" w:fill="BEBEBE"/>
            <w:vAlign w:val="center"/>
          </w:tcPr>
          <w:p w:rsidR="003073A4" w:rsidRDefault="000545DD">
            <w:pPr>
              <w:widowControl/>
              <w:jc w:val="center"/>
              <w:rPr>
                <w:sz w:val="18"/>
                <w:szCs w:val="18"/>
              </w:rPr>
            </w:pPr>
            <w:r>
              <w:rPr>
                <w:sz w:val="18"/>
                <w:szCs w:val="18"/>
              </w:rPr>
              <w:t>25%</w:t>
            </w:r>
          </w:p>
        </w:tc>
      </w:tr>
      <w:tr w:rsidR="003073A4">
        <w:trPr>
          <w:trHeight w:val="660"/>
        </w:trPr>
        <w:tc>
          <w:tcPr>
            <w:tcW w:w="1134" w:type="dxa"/>
            <w:vMerge w:val="restart"/>
            <w:shd w:val="clear" w:color="auto" w:fill="8496AF"/>
            <w:vAlign w:val="center"/>
          </w:tcPr>
          <w:p w:rsidR="003073A4" w:rsidRDefault="000545DD">
            <w:pPr>
              <w:widowControl/>
              <w:jc w:val="center"/>
              <w:rPr>
                <w:b/>
                <w:bCs/>
                <w:sz w:val="18"/>
                <w:szCs w:val="18"/>
              </w:rPr>
            </w:pPr>
            <w:r>
              <w:rPr>
                <w:b/>
                <w:bCs/>
                <w:sz w:val="18"/>
                <w:szCs w:val="18"/>
              </w:rPr>
              <w:t>Governança Corporativa</w:t>
            </w:r>
          </w:p>
        </w:tc>
        <w:tc>
          <w:tcPr>
            <w:tcW w:w="2977" w:type="dxa"/>
            <w:shd w:val="clear" w:color="auto" w:fill="8496AF"/>
            <w:vAlign w:val="center"/>
          </w:tcPr>
          <w:p w:rsidR="003073A4" w:rsidRDefault="000545DD">
            <w:pPr>
              <w:widowControl/>
              <w:rPr>
                <w:b/>
                <w:bCs/>
                <w:sz w:val="18"/>
                <w:szCs w:val="18"/>
              </w:rPr>
            </w:pPr>
            <w:r>
              <w:rPr>
                <w:b/>
                <w:bCs/>
                <w:sz w:val="18"/>
                <w:szCs w:val="18"/>
              </w:rPr>
              <w:t>Melhoria no Índice de Gestão das Autoridades Portuárias (IGAP)</w:t>
            </w:r>
          </w:p>
        </w:tc>
        <w:tc>
          <w:tcPr>
            <w:tcW w:w="3119" w:type="dxa"/>
            <w:shd w:val="clear" w:color="auto" w:fill="BEBEBE"/>
            <w:vAlign w:val="center"/>
          </w:tcPr>
          <w:p w:rsidR="003073A4" w:rsidRDefault="000545DD">
            <w:pPr>
              <w:widowControl/>
              <w:rPr>
                <w:sz w:val="18"/>
                <w:szCs w:val="18"/>
              </w:rPr>
            </w:pPr>
            <w:r>
              <w:rPr>
                <w:sz w:val="18"/>
                <w:szCs w:val="18"/>
              </w:rPr>
              <w:t>(IGAP do exercício 2026 - IGAP do exercício 2025/IGAP do exercício 2025)*100</w:t>
            </w:r>
          </w:p>
        </w:tc>
        <w:tc>
          <w:tcPr>
            <w:tcW w:w="708" w:type="dxa"/>
            <w:shd w:val="clear" w:color="auto" w:fill="BEBEBE"/>
            <w:vAlign w:val="center"/>
          </w:tcPr>
          <w:p w:rsidR="003073A4" w:rsidRDefault="000545DD">
            <w:pPr>
              <w:widowControl/>
              <w:jc w:val="center"/>
              <w:rPr>
                <w:sz w:val="18"/>
                <w:szCs w:val="18"/>
              </w:rPr>
            </w:pPr>
            <w:r>
              <w:rPr>
                <w:sz w:val="18"/>
                <w:szCs w:val="18"/>
              </w:rPr>
              <w:t>1</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w:t>
            </w:r>
          </w:p>
        </w:tc>
        <w:tc>
          <w:tcPr>
            <w:tcW w:w="649" w:type="dxa"/>
            <w:shd w:val="clear" w:color="auto" w:fill="BEBEBE"/>
            <w:vAlign w:val="center"/>
          </w:tcPr>
          <w:p w:rsidR="003073A4" w:rsidRDefault="000545DD">
            <w:pPr>
              <w:widowControl/>
              <w:jc w:val="center"/>
              <w:rPr>
                <w:sz w:val="18"/>
                <w:szCs w:val="18"/>
              </w:rPr>
            </w:pPr>
            <w:r>
              <w:rPr>
                <w:sz w:val="18"/>
                <w:szCs w:val="18"/>
              </w:rPr>
              <w:t>10%</w:t>
            </w:r>
          </w:p>
        </w:tc>
      </w:tr>
      <w:tr w:rsidR="003073A4">
        <w:trPr>
          <w:trHeight w:val="660"/>
        </w:trPr>
        <w:tc>
          <w:tcPr>
            <w:tcW w:w="1134" w:type="dxa"/>
            <w:vMerge/>
            <w:shd w:val="clear" w:color="auto" w:fill="8496AF"/>
            <w:vAlign w:val="center"/>
          </w:tcPr>
          <w:p w:rsidR="003073A4" w:rsidRDefault="003073A4">
            <w:pPr>
              <w:pBdr>
                <w:top w:val="nil"/>
                <w:left w:val="nil"/>
                <w:bottom w:val="nil"/>
                <w:right w:val="nil"/>
                <w:between w:val="nil"/>
              </w:pBdr>
              <w:spacing w:line="276" w:lineRule="auto"/>
              <w:rPr>
                <w:sz w:val="18"/>
                <w:szCs w:val="18"/>
              </w:rPr>
            </w:pPr>
          </w:p>
        </w:tc>
        <w:tc>
          <w:tcPr>
            <w:tcW w:w="2977" w:type="dxa"/>
            <w:shd w:val="clear" w:color="auto" w:fill="8496AF"/>
            <w:vAlign w:val="center"/>
          </w:tcPr>
          <w:p w:rsidR="003073A4" w:rsidRDefault="000545DD">
            <w:pPr>
              <w:widowControl/>
              <w:rPr>
                <w:b/>
                <w:bCs/>
                <w:sz w:val="18"/>
                <w:szCs w:val="18"/>
              </w:rPr>
            </w:pPr>
            <w:r>
              <w:rPr>
                <w:b/>
                <w:bCs/>
                <w:sz w:val="18"/>
                <w:szCs w:val="18"/>
              </w:rPr>
              <w:t>Indicador de Conformidade Sest (IC-Sest)</w:t>
            </w:r>
          </w:p>
        </w:tc>
        <w:tc>
          <w:tcPr>
            <w:tcW w:w="3119" w:type="dxa"/>
            <w:shd w:val="clear" w:color="auto" w:fill="BEBEBE"/>
            <w:vAlign w:val="center"/>
          </w:tcPr>
          <w:p w:rsidR="003073A4" w:rsidRDefault="000545DD">
            <w:pPr>
              <w:widowControl/>
              <w:rPr>
                <w:color w:val="FF0000"/>
                <w:sz w:val="18"/>
                <w:szCs w:val="18"/>
              </w:rPr>
            </w:pPr>
            <w:r>
              <w:rPr>
                <w:sz w:val="18"/>
                <w:szCs w:val="18"/>
              </w:rPr>
              <w:t>Pontuação recebida</w:t>
            </w:r>
          </w:p>
        </w:tc>
        <w:tc>
          <w:tcPr>
            <w:tcW w:w="708" w:type="dxa"/>
            <w:shd w:val="clear" w:color="auto" w:fill="BEBEBE"/>
            <w:vAlign w:val="center"/>
          </w:tcPr>
          <w:p w:rsidR="003073A4" w:rsidRDefault="000545DD">
            <w:pPr>
              <w:widowControl/>
              <w:jc w:val="center"/>
              <w:rPr>
                <w:sz w:val="18"/>
                <w:szCs w:val="18"/>
              </w:rPr>
            </w:pPr>
            <w:r>
              <w:rPr>
                <w:sz w:val="18"/>
                <w:szCs w:val="18"/>
              </w:rPr>
              <w:t>900</w:t>
            </w:r>
          </w:p>
        </w:tc>
        <w:tc>
          <w:tcPr>
            <w:tcW w:w="905" w:type="dxa"/>
            <w:shd w:val="clear" w:color="auto" w:fill="BEBEBE"/>
          </w:tcPr>
          <w:p w:rsidR="003073A4" w:rsidRDefault="003073A4">
            <w:pPr>
              <w:widowControl/>
              <w:jc w:val="center"/>
              <w:rPr>
                <w:sz w:val="18"/>
                <w:szCs w:val="18"/>
              </w:rPr>
            </w:pPr>
          </w:p>
          <w:p w:rsidR="003073A4" w:rsidRDefault="000545DD">
            <w:pPr>
              <w:widowControl/>
              <w:jc w:val="center"/>
              <w:rPr>
                <w:sz w:val="18"/>
                <w:szCs w:val="18"/>
              </w:rPr>
            </w:pPr>
            <w:r>
              <w:rPr>
                <w:sz w:val="18"/>
                <w:szCs w:val="18"/>
              </w:rPr>
              <w:t>Pontos</w:t>
            </w:r>
          </w:p>
        </w:tc>
        <w:tc>
          <w:tcPr>
            <w:tcW w:w="649" w:type="dxa"/>
            <w:shd w:val="clear" w:color="auto" w:fill="BEBEBE"/>
            <w:vAlign w:val="center"/>
          </w:tcPr>
          <w:p w:rsidR="003073A4" w:rsidRDefault="000545DD">
            <w:pPr>
              <w:widowControl/>
              <w:jc w:val="center"/>
              <w:rPr>
                <w:sz w:val="18"/>
                <w:szCs w:val="18"/>
              </w:rPr>
            </w:pPr>
            <w:r>
              <w:rPr>
                <w:sz w:val="18"/>
                <w:szCs w:val="18"/>
              </w:rPr>
              <w:t>10%</w:t>
            </w:r>
          </w:p>
        </w:tc>
      </w:tr>
    </w:tbl>
    <w:p w:rsidR="003073A4" w:rsidRDefault="000545DD">
      <w:pPr>
        <w:spacing w:before="240" w:after="120"/>
        <w:ind w:left="221" w:hanging="221"/>
        <w:rPr>
          <w:color w:val="000000"/>
          <w:sz w:val="18"/>
          <w:szCs w:val="18"/>
        </w:rPr>
      </w:pPr>
      <w:r>
        <w:rPr>
          <w:color w:val="000000"/>
          <w:sz w:val="18"/>
          <w:szCs w:val="18"/>
        </w:rPr>
        <w:t xml:space="preserve">Fonte: CODPLA – Coordenadoria de Planejamento Estratégico </w:t>
      </w:r>
      <w:r w:rsidR="001C1513">
        <w:rPr>
          <w:color w:val="000000"/>
          <w:sz w:val="18"/>
          <w:szCs w:val="18"/>
        </w:rPr>
        <w:t xml:space="preserve">/ CODFIN – Coordenadoria Financeira </w:t>
      </w:r>
      <w:r>
        <w:rPr>
          <w:color w:val="000000"/>
          <w:sz w:val="18"/>
          <w:szCs w:val="18"/>
        </w:rPr>
        <w:t>(2026)</w:t>
      </w:r>
    </w:p>
    <w:p w:rsidR="003073A4" w:rsidRDefault="003073A4">
      <w:pPr>
        <w:spacing w:before="240" w:after="120"/>
        <w:ind w:left="221" w:hanging="221"/>
        <w:rPr>
          <w:color w:val="FF0000"/>
          <w:sz w:val="18"/>
          <w:szCs w:val="18"/>
        </w:rPr>
      </w:pPr>
    </w:p>
    <w:p w:rsidR="003073A4" w:rsidRDefault="000545DD">
      <w:pPr>
        <w:pBdr>
          <w:top w:val="nil"/>
          <w:left w:val="nil"/>
          <w:bottom w:val="nil"/>
          <w:right w:val="nil"/>
          <w:between w:val="nil"/>
        </w:pBdr>
        <w:spacing w:before="120" w:after="120" w:line="360" w:lineRule="auto"/>
        <w:jc w:val="both"/>
        <w:rPr>
          <w:color w:val="000000"/>
        </w:rPr>
      </w:pPr>
      <w:r>
        <w:rPr>
          <w:color w:val="000000"/>
        </w:rPr>
        <w:t>Atualmente o atingimento das metas do programa e de seus gatilhos de acionamento encontram-se em processo de avaliação pela Companhia.</w:t>
      </w:r>
    </w:p>
    <w:p w:rsidR="003073A4" w:rsidRDefault="000545DD">
      <w:pPr>
        <w:numPr>
          <w:ilvl w:val="1"/>
          <w:numId w:val="9"/>
        </w:numPr>
        <w:pBdr>
          <w:top w:val="nil"/>
          <w:left w:val="nil"/>
          <w:bottom w:val="nil"/>
          <w:right w:val="nil"/>
          <w:between w:val="nil"/>
        </w:pBdr>
        <w:spacing w:before="120" w:after="120"/>
        <w:jc w:val="both"/>
        <w:rPr>
          <w:b/>
          <w:bCs/>
          <w:color w:val="000000"/>
          <w:sz w:val="32"/>
          <w:szCs w:val="32"/>
        </w:rPr>
      </w:pPr>
      <w:r>
        <w:rPr>
          <w:b/>
          <w:bCs/>
          <w:color w:val="000000"/>
          <w:sz w:val="32"/>
          <w:szCs w:val="32"/>
        </w:rPr>
        <w:t>Inovações em governança corporativa</w:t>
      </w:r>
    </w:p>
    <w:p w:rsidR="003073A4" w:rsidRDefault="003073A4">
      <w:pPr>
        <w:pBdr>
          <w:top w:val="nil"/>
          <w:left w:val="nil"/>
          <w:bottom w:val="nil"/>
          <w:right w:val="nil"/>
          <w:between w:val="nil"/>
        </w:pBdr>
        <w:spacing w:before="120" w:after="120"/>
        <w:ind w:left="942" w:hanging="709"/>
        <w:jc w:val="both"/>
        <w:rPr>
          <w:b/>
          <w:bCs/>
          <w:color w:val="000000"/>
          <w:sz w:val="18"/>
          <w:szCs w:val="18"/>
        </w:rPr>
      </w:pPr>
    </w:p>
    <w:p w:rsidR="003073A4" w:rsidRDefault="000545DD">
      <w:pPr>
        <w:spacing w:after="120" w:line="360" w:lineRule="auto"/>
        <w:jc w:val="both"/>
      </w:pPr>
      <w:r>
        <w:t>Em 2025, a Companhia seguiu com a estratégia de mapeamento, diagnóstico e melhoria de processos de governança, tendo alcançado avanços na gestão de conformidades, sendo possível registrar melhorias em diversas áreas e processos, gerando ganhos de ordem financeira e redução de riscos à integridade, conforme listados a seguir:</w:t>
      </w:r>
    </w:p>
    <w:p w:rsidR="003073A4" w:rsidRDefault="000545DD">
      <w:pPr>
        <w:widowControl/>
        <w:numPr>
          <w:ilvl w:val="0"/>
          <w:numId w:val="7"/>
        </w:numPr>
        <w:pBdr>
          <w:top w:val="nil"/>
          <w:left w:val="nil"/>
          <w:bottom w:val="nil"/>
          <w:right w:val="nil"/>
          <w:between w:val="nil"/>
        </w:pBdr>
        <w:tabs>
          <w:tab w:val="left" w:pos="930"/>
        </w:tabs>
        <w:spacing w:after="120" w:line="360" w:lineRule="auto"/>
        <w:jc w:val="both"/>
      </w:pPr>
      <w:r>
        <w:rPr>
          <w:b/>
          <w:bCs/>
        </w:rPr>
        <w:t xml:space="preserve">Reunião de Monitoramento de Resultado: </w:t>
      </w:r>
      <w:r>
        <w:t>análise aprofundada dos indicadores estratégicos e acompanhamento mensal do desempenho da Companhia, garantindo um monitoramento mais eficaz e orientado para a tomada de decisões;</w:t>
      </w:r>
      <w:r>
        <w:rPr>
          <w:b/>
          <w:bCs/>
        </w:rPr>
        <w:t xml:space="preserve">  </w:t>
      </w:r>
    </w:p>
    <w:p w:rsidR="003073A4" w:rsidRDefault="000545DD">
      <w:pPr>
        <w:widowControl/>
        <w:numPr>
          <w:ilvl w:val="0"/>
          <w:numId w:val="7"/>
        </w:numPr>
        <w:pBdr>
          <w:top w:val="nil"/>
          <w:left w:val="nil"/>
          <w:bottom w:val="nil"/>
          <w:right w:val="nil"/>
          <w:between w:val="nil"/>
        </w:pBdr>
        <w:tabs>
          <w:tab w:val="left" w:pos="930"/>
        </w:tabs>
        <w:spacing w:after="120" w:line="360" w:lineRule="auto"/>
        <w:jc w:val="both"/>
      </w:pPr>
      <w:r>
        <w:rPr>
          <w:b/>
          <w:bCs/>
        </w:rPr>
        <w:t xml:space="preserve">Escritório de Projetos </w:t>
      </w:r>
      <w:r>
        <w:t>com o</w:t>
      </w:r>
      <w:r>
        <w:rPr>
          <w:b/>
          <w:bCs/>
        </w:rPr>
        <w:t xml:space="preserve"> </w:t>
      </w:r>
      <w:r>
        <w:t>apoio ao planejamento e ao gerenciamento dos projetos estratégicos da Companhia, utilizando as boas práticas em metodologia de gestão de projetos (PMBOK/BPMN);</w:t>
      </w:r>
    </w:p>
    <w:p w:rsidR="003073A4" w:rsidRDefault="000545DD">
      <w:pPr>
        <w:numPr>
          <w:ilvl w:val="0"/>
          <w:numId w:val="7"/>
        </w:numPr>
        <w:pBdr>
          <w:top w:val="nil"/>
          <w:left w:val="nil"/>
          <w:bottom w:val="nil"/>
          <w:right w:val="nil"/>
          <w:between w:val="nil"/>
        </w:pBdr>
        <w:tabs>
          <w:tab w:val="left" w:pos="930"/>
        </w:tabs>
        <w:spacing w:after="120" w:line="360" w:lineRule="auto"/>
        <w:ind w:right="194"/>
        <w:jc w:val="both"/>
        <w:rPr>
          <w:color w:val="000000"/>
        </w:rPr>
      </w:pPr>
      <w:r>
        <w:rPr>
          <w:color w:val="000000"/>
        </w:rPr>
        <w:t xml:space="preserve">Em 2025, foi mantido e aperfeiçoado o Comitê ESG da CDC, instituído desde 2024, caracterizado por composição multidisciplinar, o qual concentrou seus esforços ao longo do exercício na condução e no acompanhamento do processo de certificação junto ao Programa Selo ESG-FIEC, reconhecido como uma das principais iniciativas de acreditação empresarial do Estado do Ceará. O processo de certificação exigiu amplo envolvimento das áreas da Companhia, com a organização e atendimento a 74 indicadores distribuídos nas dimensões ambiental, social e de governança. A atuação integrada das equipes permitiu à CDC alcançar o </w:t>
      </w:r>
      <w:r>
        <w:rPr>
          <w:i/>
          <w:iCs/>
          <w:color w:val="000000"/>
        </w:rPr>
        <w:t>rating</w:t>
      </w:r>
      <w:r>
        <w:rPr>
          <w:color w:val="000000"/>
        </w:rPr>
        <w:t xml:space="preserve"> BBB na 13ª edição do Selo ESG-FIEC, reconhecimento que posiciona a Companhia entre as organizações cearenses com práticas estruturadas e alinhadas aos princípios contemporâneos de sustentabilidade e de gestão responsável. É a CDC a primeira estatal a ser reconhecida com esse prêmio. A certificação representa marco relevante para a Companhia, não apenas como instrumento de conformidade e reputação institucional, mas como diferencial competitivo frente ao mercado portuário, investidores, parceiros e sociedade.</w:t>
      </w:r>
    </w:p>
    <w:p w:rsidR="003073A4" w:rsidRDefault="000545DD">
      <w:pPr>
        <w:numPr>
          <w:ilvl w:val="0"/>
          <w:numId w:val="7"/>
        </w:numPr>
        <w:pBdr>
          <w:top w:val="nil"/>
          <w:left w:val="nil"/>
          <w:bottom w:val="nil"/>
          <w:right w:val="nil"/>
          <w:between w:val="nil"/>
        </w:pBdr>
        <w:tabs>
          <w:tab w:val="left" w:pos="930"/>
        </w:tabs>
        <w:spacing w:after="120" w:line="360" w:lineRule="auto"/>
        <w:ind w:right="194"/>
        <w:jc w:val="both"/>
        <w:rPr>
          <w:color w:val="000000"/>
        </w:rPr>
      </w:pPr>
      <w:r>
        <w:rPr>
          <w:color w:val="000000"/>
        </w:rPr>
        <w:t xml:space="preserve">Conclusão do Plano de Descarbonização do Porto de Fortaleza:  plano elaborado em parceria com a </w:t>
      </w:r>
      <w:r>
        <w:rPr>
          <w:i/>
          <w:iCs/>
          <w:color w:val="000000"/>
        </w:rPr>
        <w:t>Fundación Valenciaport</w:t>
      </w:r>
      <w:r>
        <w:rPr>
          <w:color w:val="000000"/>
        </w:rPr>
        <w:t xml:space="preserve">, estabelecendo diagnóstico completo das emissões de gases de efeito estufa e diretrizes estratégicas para redução progressiva até 2050, com </w:t>
      </w:r>
      <w:r>
        <w:rPr>
          <w:color w:val="000000"/>
        </w:rPr>
        <w:lastRenderedPageBreak/>
        <w:t>proposição de iniciativas técnicas e operacionais voltadas à transição para um porto de menor impacto climático.</w:t>
      </w:r>
    </w:p>
    <w:p w:rsidR="003073A4" w:rsidRDefault="000545DD">
      <w:pPr>
        <w:numPr>
          <w:ilvl w:val="0"/>
          <w:numId w:val="7"/>
        </w:numPr>
        <w:pBdr>
          <w:top w:val="nil"/>
          <w:left w:val="nil"/>
          <w:bottom w:val="nil"/>
          <w:right w:val="nil"/>
          <w:between w:val="nil"/>
        </w:pBdr>
        <w:tabs>
          <w:tab w:val="left" w:pos="930"/>
        </w:tabs>
        <w:spacing w:after="120" w:line="360" w:lineRule="auto"/>
        <w:ind w:right="194"/>
        <w:jc w:val="both"/>
        <w:rPr>
          <w:color w:val="000000"/>
        </w:rPr>
      </w:pPr>
      <w:r>
        <w:rPr>
          <w:color w:val="000000"/>
        </w:rPr>
        <w:t>Conclusão do Estudo de Diagnóstico Territorial dos bairros do entorno do Porto de Fortaleza — Cais do Porto, Mucuripe e Vicente Pinzón — instrumento que amplia a compreensão do contexto socioeconômico local e fortalece a estratégia porto-cidade. O diagnóstico consolida informações estruturadas sobre aspectos econômicos, educacionais, culturais e socioambientais, subsidiando futuras ações institucionais mais assertivas e promovendo maior interação e proximidade com as comunidades do entorno.</w:t>
      </w:r>
    </w:p>
    <w:p w:rsidR="003073A4" w:rsidRDefault="000545DD">
      <w:pPr>
        <w:numPr>
          <w:ilvl w:val="0"/>
          <w:numId w:val="7"/>
        </w:numPr>
        <w:pBdr>
          <w:top w:val="nil"/>
          <w:left w:val="nil"/>
          <w:bottom w:val="nil"/>
          <w:right w:val="nil"/>
          <w:between w:val="nil"/>
        </w:pBdr>
        <w:tabs>
          <w:tab w:val="left" w:pos="930"/>
        </w:tabs>
        <w:spacing w:after="120" w:line="360" w:lineRule="auto"/>
        <w:ind w:right="194"/>
        <w:jc w:val="both"/>
        <w:rPr>
          <w:color w:val="000000"/>
        </w:rPr>
      </w:pPr>
      <w:r>
        <w:rPr>
          <w:color w:val="000000"/>
        </w:rPr>
        <w:t>Contratação do sistema ERP: Após anos de esforços para recomposição dos sistemas corporativos, em especial após os impactos do ataque cibernético sofrido pela CDC, foi concluído o processo licitatório e definida a solução tecnológica adequada às necessidades institucionais. A implantação do novo sistema teve início em novembro de 2025, representando avanço significativo na modernização da gestão, no fortalecimento dos controles internos, na integração de processos e na transparência das informações.</w:t>
      </w:r>
    </w:p>
    <w:p w:rsidR="003073A4" w:rsidRDefault="003073A4">
      <w:pPr>
        <w:pBdr>
          <w:top w:val="nil"/>
          <w:left w:val="nil"/>
          <w:bottom w:val="nil"/>
          <w:right w:val="nil"/>
          <w:between w:val="nil"/>
        </w:pBdr>
        <w:spacing w:before="120" w:after="120" w:line="360" w:lineRule="auto"/>
        <w:ind w:right="195"/>
        <w:jc w:val="both"/>
        <w:rPr>
          <w:i/>
          <w:iCs/>
          <w:color w:val="000000"/>
        </w:rPr>
      </w:pPr>
    </w:p>
    <w:p w:rsidR="003073A4" w:rsidRDefault="003073A4">
      <w:pPr>
        <w:pBdr>
          <w:top w:val="nil"/>
          <w:left w:val="nil"/>
          <w:bottom w:val="nil"/>
          <w:right w:val="nil"/>
          <w:between w:val="nil"/>
        </w:pBdr>
        <w:spacing w:before="120" w:after="120" w:line="120" w:lineRule="auto"/>
        <w:ind w:right="193"/>
        <w:jc w:val="both"/>
        <w:rPr>
          <w:color w:val="000000"/>
        </w:rPr>
      </w:pPr>
    </w:p>
    <w:sectPr w:rsidR="003073A4">
      <w:pgSz w:w="11910" w:h="16840"/>
      <w:pgMar w:top="1240" w:right="1500" w:bottom="1200" w:left="1480" w:header="0" w:footer="9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15F" w:rsidRDefault="0074715F">
      <w:r>
        <w:separator/>
      </w:r>
    </w:p>
  </w:endnote>
  <w:endnote w:type="continuationSeparator" w:id="0">
    <w:p w:rsidR="0074715F" w:rsidRDefault="00747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DAB7A2E-A025-47F1-9466-E21556276B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CAEB75-7FA3-49C8-9087-68C571AC3B78}"/>
    <w:embedBold r:id="rId3" w:fontKey="{E206147D-45B4-4876-A541-C2B639A7B657}"/>
    <w:embedItalic r:id="rId4" w:fontKey="{B9800410-1B4D-4DBD-B7E1-AEFBC65C61D8}"/>
  </w:font>
  <w:font w:name="Cambria">
    <w:panose1 w:val="02040503050406030204"/>
    <w:charset w:val="00"/>
    <w:family w:val="roman"/>
    <w:pitch w:val="variable"/>
    <w:sig w:usb0="E00006FF" w:usb1="420024FF" w:usb2="02000000" w:usb3="00000000" w:csb0="0000019F" w:csb1="00000000"/>
    <w:embedRegular r:id="rId5" w:fontKey="{46606B2C-F175-425E-8023-E25351864910}"/>
    <w:embedItalic r:id="rId6" w:fontKey="{168C720E-92C3-4B8B-88D9-B6FD5C1BBC37}"/>
  </w:font>
  <w:font w:name="Georgia">
    <w:panose1 w:val="02040502050405020303"/>
    <w:charset w:val="00"/>
    <w:family w:val="roman"/>
    <w:pitch w:val="variable"/>
    <w:sig w:usb0="00000287" w:usb1="00000000" w:usb2="00000000" w:usb3="00000000" w:csb0="0000009F" w:csb1="00000000"/>
    <w:embedItalic r:id="rId7" w:fontKey="{2DAAE67D-2575-48B6-AB97-B5C370FFE0CA}"/>
  </w:font>
  <w:font w:name="Century Gothic">
    <w:panose1 w:val="020B0502020202020204"/>
    <w:charset w:val="00"/>
    <w:family w:val="swiss"/>
    <w:pitch w:val="variable"/>
    <w:sig w:usb0="00000287" w:usb1="00000000" w:usb2="00000000" w:usb3="00000000" w:csb0="0000009F" w:csb1="00000000"/>
    <w:embedRegular r:id="rId8" w:fontKey="{2BFD26C1-2962-47F4-A989-E5F42F0EC058}"/>
    <w:embedItalic r:id="rId9" w:fontKey="{0D21E06C-DC14-429E-8878-E10B1F0CC707}"/>
  </w:font>
  <w:font w:name="Segoe UI">
    <w:panose1 w:val="020B0502040204020203"/>
    <w:charset w:val="00"/>
    <w:family w:val="swiss"/>
    <w:pitch w:val="variable"/>
    <w:sig w:usb0="E4002EFF" w:usb1="C000E47F" w:usb2="00000009" w:usb3="00000000" w:csb0="000001FF" w:csb1="00000000"/>
    <w:embedRegular r:id="rId10" w:fontKey="{69FFFCD1-F630-48D5-871F-D8AC3F66AB78}"/>
  </w:font>
  <w:font w:name="AppleSystemUIFont">
    <w:altName w:val="Times New Roman"/>
    <w:panose1 w:val="00000000000000000000"/>
    <w:charset w:val="00"/>
    <w:family w:val="auto"/>
    <w:notTrueType/>
    <w:pitch w:val="default"/>
    <w:sig w:usb0="00000003" w:usb1="00000000" w:usb2="00000000" w:usb3="00000000" w:csb0="00000001" w:csb1="00000000"/>
  </w:font>
  <w:font w:name="Arimo">
    <w:altName w:val="Times New Roman"/>
    <w:charset w:val="00"/>
    <w:family w:val="auto"/>
    <w:pitch w:val="default"/>
    <w:embedRegular r:id="rId11" w:fontKey="{165842AA-90B3-4A5B-BEFB-43140F5F905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15F" w:rsidRDefault="0074715F">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5130D3">
      <w:rPr>
        <w:noProof/>
        <w:color w:val="000000"/>
      </w:rPr>
      <w:t>11</w:t>
    </w:r>
    <w:r>
      <w:rPr>
        <w:color w:val="000000"/>
      </w:rPr>
      <w:fldChar w:fldCharType="end"/>
    </w:r>
  </w:p>
  <w:p w:rsidR="0074715F" w:rsidRDefault="0074715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15F" w:rsidRDefault="0074715F">
      <w:r>
        <w:separator/>
      </w:r>
    </w:p>
  </w:footnote>
  <w:footnote w:type="continuationSeparator" w:id="0">
    <w:p w:rsidR="0074715F" w:rsidRDefault="007471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15F" w:rsidRDefault="0074715F">
    <w:pPr>
      <w:pBdr>
        <w:top w:val="nil"/>
        <w:left w:val="nil"/>
        <w:bottom w:val="nil"/>
        <w:right w:val="nil"/>
        <w:between w:val="nil"/>
      </w:pBdr>
      <w:tabs>
        <w:tab w:val="center" w:pos="4252"/>
        <w:tab w:val="right" w:pos="8504"/>
      </w:tabs>
      <w:rPr>
        <w:color w:val="000000"/>
      </w:rPr>
    </w:pPr>
  </w:p>
  <w:tbl>
    <w:tblPr>
      <w:tblStyle w:val="af5"/>
      <w:tblW w:w="8930" w:type="dxa"/>
      <w:jc w:val="right"/>
      <w:tblInd w:w="0" w:type="dxa"/>
      <w:tblLayout w:type="fixed"/>
      <w:tblLook w:val="0400" w:firstRow="0" w:lastRow="0" w:firstColumn="0" w:lastColumn="0" w:noHBand="0" w:noVBand="1"/>
    </w:tblPr>
    <w:tblGrid>
      <w:gridCol w:w="1721"/>
      <w:gridCol w:w="7209"/>
    </w:tblGrid>
    <w:tr w:rsidR="0074715F">
      <w:trPr>
        <w:jc w:val="right"/>
      </w:trPr>
      <w:tc>
        <w:tcPr>
          <w:tcW w:w="1721" w:type="dxa"/>
          <w:shd w:val="clear" w:color="auto" w:fill="1E9096"/>
          <w:vAlign w:val="center"/>
        </w:tcPr>
        <w:p w:rsidR="0074715F" w:rsidRDefault="0074715F">
          <w:pPr>
            <w:pBdr>
              <w:top w:val="nil"/>
              <w:left w:val="nil"/>
              <w:bottom w:val="nil"/>
              <w:right w:val="nil"/>
              <w:between w:val="nil"/>
            </w:pBdr>
            <w:tabs>
              <w:tab w:val="center" w:pos="4252"/>
              <w:tab w:val="right" w:pos="8504"/>
            </w:tabs>
            <w:rPr>
              <w:smallCaps/>
              <w:color w:val="FFFFFF"/>
            </w:rPr>
          </w:pPr>
          <w:r>
            <w:rPr>
              <w:smallCaps/>
              <w:noProof/>
              <w:color w:val="FFFFFF"/>
            </w:rPr>
            <w:drawing>
              <wp:inline distT="0" distB="0" distL="0" distR="0">
                <wp:extent cx="1001979" cy="27901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1979" cy="279014"/>
                        </a:xfrm>
                        <a:prstGeom prst="rect">
                          <a:avLst/>
                        </a:prstGeom>
                        <a:ln/>
                      </pic:spPr>
                    </pic:pic>
                  </a:graphicData>
                </a:graphic>
              </wp:inline>
            </w:drawing>
          </w:r>
        </w:p>
      </w:tc>
      <w:tc>
        <w:tcPr>
          <w:tcW w:w="7209" w:type="dxa"/>
          <w:shd w:val="clear" w:color="auto" w:fill="1E9096"/>
          <w:vAlign w:val="center"/>
        </w:tcPr>
        <w:p w:rsidR="0074715F" w:rsidRDefault="0074715F">
          <w:pPr>
            <w:pBdr>
              <w:top w:val="nil"/>
              <w:left w:val="nil"/>
              <w:bottom w:val="nil"/>
              <w:right w:val="nil"/>
              <w:between w:val="nil"/>
            </w:pBdr>
            <w:tabs>
              <w:tab w:val="center" w:pos="4252"/>
              <w:tab w:val="right" w:pos="8504"/>
            </w:tabs>
            <w:jc w:val="right"/>
            <w:rPr>
              <w:b/>
              <w:bCs/>
              <w:smallCaps/>
              <w:color w:val="FFFFFF"/>
            </w:rPr>
          </w:pPr>
          <w:r>
            <w:rPr>
              <w:b/>
              <w:bCs/>
              <w:smallCaps/>
              <w:color w:val="FFFFFF"/>
            </w:rPr>
            <w:t>CARTA ANUAL DE POLÍTICAS PÚBLICAS E GOVERNANÇA CORPORATIVA 2025</w:t>
          </w:r>
        </w:p>
      </w:tc>
    </w:tr>
  </w:tbl>
  <w:p w:rsidR="0074715F" w:rsidRDefault="0074715F">
    <w:pPr>
      <w:pBdr>
        <w:top w:val="nil"/>
        <w:left w:val="nil"/>
        <w:bottom w:val="nil"/>
        <w:right w:val="nil"/>
        <w:between w:val="nil"/>
      </w:pBdr>
      <w:tabs>
        <w:tab w:val="center" w:pos="4252"/>
        <w:tab w:val="right" w:pos="8504"/>
      </w:tabs>
      <w:rPr>
        <w:color w:val="000000"/>
      </w:rPr>
    </w:pPr>
  </w:p>
  <w:p w:rsidR="0074715F" w:rsidRDefault="0074715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F7207"/>
    <w:multiLevelType w:val="multilevel"/>
    <w:tmpl w:val="7F58B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6B43A9"/>
    <w:multiLevelType w:val="multilevel"/>
    <w:tmpl w:val="C9D8E2E2"/>
    <w:lvl w:ilvl="0">
      <w:start w:val="1"/>
      <w:numFmt w:val="decimal"/>
      <w:lvlText w:val="%1."/>
      <w:lvlJc w:val="left"/>
      <w:pPr>
        <w:ind w:left="582" w:hanging="360"/>
      </w:pPr>
    </w:lvl>
    <w:lvl w:ilvl="1">
      <w:start w:val="1"/>
      <w:numFmt w:val="decimal"/>
      <w:lvlText w:val="%1.%2"/>
      <w:lvlJc w:val="left"/>
      <w:pPr>
        <w:ind w:left="942" w:hanging="720"/>
      </w:pPr>
      <w:rPr>
        <w:b/>
        <w:bCs/>
        <w:i w:val="0"/>
        <w:iCs w:val="0"/>
        <w:smallCaps w:val="0"/>
        <w:strike w:val="0"/>
        <w:color w:val="000000"/>
        <w:u w:val="none"/>
        <w:vertAlign w:val="baseline"/>
      </w:rPr>
    </w:lvl>
    <w:lvl w:ilvl="2">
      <w:start w:val="1"/>
      <w:numFmt w:val="decimal"/>
      <w:lvlText w:val="%1.%2.%3"/>
      <w:lvlJc w:val="left"/>
      <w:pPr>
        <w:ind w:left="942" w:hanging="720"/>
      </w:pPr>
      <w:rPr>
        <w:color w:val="2D74B5"/>
      </w:rPr>
    </w:lvl>
    <w:lvl w:ilvl="3">
      <w:start w:val="1"/>
      <w:numFmt w:val="decimal"/>
      <w:lvlText w:val="%1.%2.%3.%4"/>
      <w:lvlJc w:val="left"/>
      <w:pPr>
        <w:ind w:left="1302" w:hanging="1080"/>
      </w:pPr>
      <w:rPr>
        <w:color w:val="2D74B5"/>
      </w:rPr>
    </w:lvl>
    <w:lvl w:ilvl="4">
      <w:start w:val="1"/>
      <w:numFmt w:val="decimal"/>
      <w:lvlText w:val="%1.%2.%3.%4.%5"/>
      <w:lvlJc w:val="left"/>
      <w:pPr>
        <w:ind w:left="1662" w:hanging="1440"/>
      </w:pPr>
      <w:rPr>
        <w:color w:val="2D74B5"/>
      </w:rPr>
    </w:lvl>
    <w:lvl w:ilvl="5">
      <w:start w:val="1"/>
      <w:numFmt w:val="decimal"/>
      <w:lvlText w:val="%1.%2.%3.%4.%5.%6"/>
      <w:lvlJc w:val="left"/>
      <w:pPr>
        <w:ind w:left="1662" w:hanging="1440"/>
      </w:pPr>
      <w:rPr>
        <w:color w:val="2D74B5"/>
      </w:rPr>
    </w:lvl>
    <w:lvl w:ilvl="6">
      <w:start w:val="1"/>
      <w:numFmt w:val="decimal"/>
      <w:lvlText w:val="%1.%2.%3.%4.%5.%6.%7"/>
      <w:lvlJc w:val="left"/>
      <w:pPr>
        <w:ind w:left="2022" w:hanging="1800"/>
      </w:pPr>
      <w:rPr>
        <w:color w:val="2D74B5"/>
      </w:rPr>
    </w:lvl>
    <w:lvl w:ilvl="7">
      <w:start w:val="1"/>
      <w:numFmt w:val="decimal"/>
      <w:lvlText w:val="%1.%2.%3.%4.%5.%6.%7.%8"/>
      <w:lvlJc w:val="left"/>
      <w:pPr>
        <w:ind w:left="2382" w:hanging="2160"/>
      </w:pPr>
      <w:rPr>
        <w:color w:val="2D74B5"/>
      </w:rPr>
    </w:lvl>
    <w:lvl w:ilvl="8">
      <w:start w:val="1"/>
      <w:numFmt w:val="decimal"/>
      <w:lvlText w:val="%1.%2.%3.%4.%5.%6.%7.%8.%9"/>
      <w:lvlJc w:val="left"/>
      <w:pPr>
        <w:ind w:left="2382" w:hanging="2160"/>
      </w:pPr>
      <w:rPr>
        <w:color w:val="2D74B5"/>
      </w:rPr>
    </w:lvl>
  </w:abstractNum>
  <w:abstractNum w:abstractNumId="2" w15:restartNumberingAfterBreak="0">
    <w:nsid w:val="4C8B48AA"/>
    <w:multiLevelType w:val="multilevel"/>
    <w:tmpl w:val="B4CC8146"/>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425AAE"/>
    <w:multiLevelType w:val="multilevel"/>
    <w:tmpl w:val="23B065E2"/>
    <w:lvl w:ilvl="0">
      <w:start w:val="1"/>
      <w:numFmt w:val="bullet"/>
      <w:lvlText w:val="●"/>
      <w:lvlJc w:val="left"/>
      <w:pPr>
        <w:ind w:left="942" w:hanging="360"/>
      </w:pPr>
      <w:rPr>
        <w:rFonts w:ascii="Noto Sans Symbols" w:eastAsia="Noto Sans Symbols" w:hAnsi="Noto Sans Symbols" w:cs="Noto Sans Symbols"/>
      </w:rPr>
    </w:lvl>
    <w:lvl w:ilvl="1">
      <w:start w:val="1"/>
      <w:numFmt w:val="lowerLetter"/>
      <w:lvlText w:val="%2."/>
      <w:lvlJc w:val="left"/>
      <w:pPr>
        <w:ind w:left="1662" w:hanging="360"/>
      </w:p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abstractNum w:abstractNumId="4" w15:restartNumberingAfterBreak="0">
    <w:nsid w:val="52F11D5B"/>
    <w:multiLevelType w:val="multilevel"/>
    <w:tmpl w:val="E60880BE"/>
    <w:lvl w:ilvl="0">
      <w:start w:val="1"/>
      <w:numFmt w:val="upperRoman"/>
      <w:lvlText w:val="%1."/>
      <w:lvlJc w:val="right"/>
      <w:pPr>
        <w:ind w:left="942" w:hanging="360"/>
      </w:pPr>
    </w:lvl>
    <w:lvl w:ilvl="1">
      <w:start w:val="1"/>
      <w:numFmt w:val="lowerLetter"/>
      <w:lvlText w:val="%2."/>
      <w:lvlJc w:val="left"/>
      <w:pPr>
        <w:ind w:left="1662" w:hanging="360"/>
      </w:pPr>
      <w:rPr>
        <w:color w:val="000000"/>
      </w:r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abstractNum w:abstractNumId="5" w15:restartNumberingAfterBreak="0">
    <w:nsid w:val="59F437B0"/>
    <w:multiLevelType w:val="multilevel"/>
    <w:tmpl w:val="45FC5B32"/>
    <w:lvl w:ilvl="0">
      <w:start w:val="3"/>
      <w:numFmt w:val="decimal"/>
      <w:lvlText w:val="%1."/>
      <w:lvlJc w:val="left"/>
      <w:pPr>
        <w:ind w:left="510" w:hanging="510"/>
      </w:pPr>
    </w:lvl>
    <w:lvl w:ilvl="1">
      <w:start w:val="4"/>
      <w:numFmt w:val="decimal"/>
      <w:lvlText w:val="%1.%2."/>
      <w:lvlJc w:val="left"/>
      <w:pPr>
        <w:ind w:left="942" w:hanging="720"/>
      </w:pPr>
    </w:lvl>
    <w:lvl w:ilvl="2">
      <w:start w:val="1"/>
      <w:numFmt w:val="decimal"/>
      <w:lvlText w:val="%1.%2.%3."/>
      <w:lvlJc w:val="left"/>
      <w:pPr>
        <w:ind w:left="1524" w:hanging="1080"/>
      </w:pPr>
    </w:lvl>
    <w:lvl w:ilvl="3">
      <w:start w:val="1"/>
      <w:numFmt w:val="decimal"/>
      <w:lvlText w:val="%1.%2.%3.%4."/>
      <w:lvlJc w:val="left"/>
      <w:pPr>
        <w:ind w:left="1746" w:hanging="1080"/>
      </w:pPr>
    </w:lvl>
    <w:lvl w:ilvl="4">
      <w:start w:val="1"/>
      <w:numFmt w:val="decimal"/>
      <w:lvlText w:val="%1.%2.%3.%4.%5."/>
      <w:lvlJc w:val="left"/>
      <w:pPr>
        <w:ind w:left="2328" w:hanging="1440"/>
      </w:pPr>
    </w:lvl>
    <w:lvl w:ilvl="5">
      <w:start w:val="1"/>
      <w:numFmt w:val="decimal"/>
      <w:lvlText w:val="%1.%2.%3.%4.%5.%6."/>
      <w:lvlJc w:val="left"/>
      <w:pPr>
        <w:ind w:left="2910" w:hanging="1800"/>
      </w:pPr>
    </w:lvl>
    <w:lvl w:ilvl="6">
      <w:start w:val="1"/>
      <w:numFmt w:val="decimal"/>
      <w:lvlText w:val="%1.%2.%3.%4.%5.%6.%7."/>
      <w:lvlJc w:val="left"/>
      <w:pPr>
        <w:ind w:left="3132" w:hanging="1800"/>
      </w:pPr>
    </w:lvl>
    <w:lvl w:ilvl="7">
      <w:start w:val="1"/>
      <w:numFmt w:val="decimal"/>
      <w:lvlText w:val="%1.%2.%3.%4.%5.%6.%7.%8."/>
      <w:lvlJc w:val="left"/>
      <w:pPr>
        <w:ind w:left="3714" w:hanging="2160"/>
      </w:pPr>
    </w:lvl>
    <w:lvl w:ilvl="8">
      <w:start w:val="1"/>
      <w:numFmt w:val="decimal"/>
      <w:lvlText w:val="%1.%2.%3.%4.%5.%6.%7.%8.%9."/>
      <w:lvlJc w:val="left"/>
      <w:pPr>
        <w:ind w:left="4296" w:hanging="2520"/>
      </w:pPr>
    </w:lvl>
  </w:abstractNum>
  <w:abstractNum w:abstractNumId="6" w15:restartNumberingAfterBreak="0">
    <w:nsid w:val="5B2F5493"/>
    <w:multiLevelType w:val="multilevel"/>
    <w:tmpl w:val="C664A7F4"/>
    <w:lvl w:ilvl="0">
      <w:start w:val="1"/>
      <w:numFmt w:val="upperRoman"/>
      <w:lvlText w:val="%1."/>
      <w:lvlJc w:val="right"/>
      <w:pPr>
        <w:ind w:left="942" w:hanging="360"/>
      </w:pPr>
    </w:lvl>
    <w:lvl w:ilvl="1">
      <w:start w:val="1"/>
      <w:numFmt w:val="lowerLetter"/>
      <w:lvlText w:val="%2."/>
      <w:lvlJc w:val="left"/>
      <w:pPr>
        <w:ind w:left="1662" w:hanging="360"/>
      </w:pPr>
      <w:rPr>
        <w:color w:val="000000"/>
      </w:r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abstractNum w:abstractNumId="7" w15:restartNumberingAfterBreak="0">
    <w:nsid w:val="61926C62"/>
    <w:multiLevelType w:val="multilevel"/>
    <w:tmpl w:val="7B307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275905"/>
    <w:multiLevelType w:val="multilevel"/>
    <w:tmpl w:val="DBACF124"/>
    <w:lvl w:ilvl="0">
      <w:start w:val="1"/>
      <w:numFmt w:val="lowerLetter"/>
      <w:lvlText w:val="%1)"/>
      <w:lvlJc w:val="left"/>
      <w:pPr>
        <w:ind w:left="942" w:hanging="360"/>
      </w:pPr>
    </w:lvl>
    <w:lvl w:ilvl="1">
      <w:start w:val="1"/>
      <w:numFmt w:val="lowerLetter"/>
      <w:lvlText w:val="%2."/>
      <w:lvlJc w:val="left"/>
      <w:pPr>
        <w:ind w:left="1662" w:hanging="360"/>
      </w:p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abstractNum w:abstractNumId="9" w15:restartNumberingAfterBreak="0">
    <w:nsid w:val="759A5EB5"/>
    <w:multiLevelType w:val="multilevel"/>
    <w:tmpl w:val="3638581A"/>
    <w:lvl w:ilvl="0">
      <w:start w:val="1"/>
      <w:numFmt w:val="bullet"/>
      <w:lvlText w:val="●"/>
      <w:lvlJc w:val="left"/>
      <w:pPr>
        <w:ind w:left="942" w:hanging="360"/>
      </w:pPr>
      <w:rPr>
        <w:rFonts w:ascii="Noto Sans Symbols" w:eastAsia="Noto Sans Symbols" w:hAnsi="Noto Sans Symbols" w:cs="Noto Sans Symbols"/>
      </w:rPr>
    </w:lvl>
    <w:lvl w:ilvl="1">
      <w:start w:val="1"/>
      <w:numFmt w:val="lowerLetter"/>
      <w:lvlText w:val="%2."/>
      <w:lvlJc w:val="left"/>
      <w:pPr>
        <w:ind w:left="1662" w:hanging="360"/>
      </w:p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abstractNum w:abstractNumId="10" w15:restartNumberingAfterBreak="0">
    <w:nsid w:val="7A863ED7"/>
    <w:multiLevelType w:val="multilevel"/>
    <w:tmpl w:val="6F9C3B42"/>
    <w:lvl w:ilvl="0">
      <w:start w:val="1"/>
      <w:numFmt w:val="decimal"/>
      <w:lvlText w:val="%1."/>
      <w:lvlJc w:val="left"/>
      <w:pPr>
        <w:ind w:left="582" w:hanging="360"/>
      </w:pPr>
    </w:lvl>
    <w:lvl w:ilvl="1">
      <w:start w:val="1"/>
      <w:numFmt w:val="decimal"/>
      <w:lvlText w:val="%1.%2"/>
      <w:lvlJc w:val="left"/>
      <w:pPr>
        <w:ind w:left="942" w:hanging="720"/>
      </w:pPr>
      <w:rPr>
        <w:b/>
        <w:bCs/>
        <w:i w:val="0"/>
        <w:iCs w:val="0"/>
        <w:smallCaps w:val="0"/>
        <w:strike w:val="0"/>
        <w:color w:val="000000"/>
        <w:u w:val="none"/>
        <w:vertAlign w:val="baseline"/>
      </w:rPr>
    </w:lvl>
    <w:lvl w:ilvl="2">
      <w:start w:val="1"/>
      <w:numFmt w:val="decimal"/>
      <w:lvlText w:val="%1.%2.%3"/>
      <w:lvlJc w:val="left"/>
      <w:pPr>
        <w:ind w:left="942" w:hanging="720"/>
      </w:pPr>
      <w:rPr>
        <w:color w:val="auto"/>
      </w:rPr>
    </w:lvl>
    <w:lvl w:ilvl="3">
      <w:start w:val="1"/>
      <w:numFmt w:val="decimal"/>
      <w:lvlText w:val="%1.%2.%3.%4"/>
      <w:lvlJc w:val="left"/>
      <w:pPr>
        <w:ind w:left="1302" w:hanging="1080"/>
      </w:pPr>
      <w:rPr>
        <w:color w:val="2D74B5"/>
      </w:rPr>
    </w:lvl>
    <w:lvl w:ilvl="4">
      <w:start w:val="1"/>
      <w:numFmt w:val="decimal"/>
      <w:lvlText w:val="%1.%2.%3.%4.%5"/>
      <w:lvlJc w:val="left"/>
      <w:pPr>
        <w:ind w:left="1662" w:hanging="1440"/>
      </w:pPr>
      <w:rPr>
        <w:color w:val="2D74B5"/>
      </w:rPr>
    </w:lvl>
    <w:lvl w:ilvl="5">
      <w:start w:val="1"/>
      <w:numFmt w:val="decimal"/>
      <w:lvlText w:val="%1.%2.%3.%4.%5.%6"/>
      <w:lvlJc w:val="left"/>
      <w:pPr>
        <w:ind w:left="1662" w:hanging="1440"/>
      </w:pPr>
      <w:rPr>
        <w:color w:val="2D74B5"/>
      </w:rPr>
    </w:lvl>
    <w:lvl w:ilvl="6">
      <w:start w:val="1"/>
      <w:numFmt w:val="decimal"/>
      <w:lvlText w:val="%1.%2.%3.%4.%5.%6.%7"/>
      <w:lvlJc w:val="left"/>
      <w:pPr>
        <w:ind w:left="2022" w:hanging="1800"/>
      </w:pPr>
      <w:rPr>
        <w:color w:val="2D74B5"/>
      </w:rPr>
    </w:lvl>
    <w:lvl w:ilvl="7">
      <w:start w:val="1"/>
      <w:numFmt w:val="decimal"/>
      <w:lvlText w:val="%1.%2.%3.%4.%5.%6.%7.%8"/>
      <w:lvlJc w:val="left"/>
      <w:pPr>
        <w:ind w:left="2382" w:hanging="2160"/>
      </w:pPr>
      <w:rPr>
        <w:color w:val="2D74B5"/>
      </w:rPr>
    </w:lvl>
    <w:lvl w:ilvl="8">
      <w:start w:val="1"/>
      <w:numFmt w:val="decimal"/>
      <w:lvlText w:val="%1.%2.%3.%4.%5.%6.%7.%8.%9"/>
      <w:lvlJc w:val="left"/>
      <w:pPr>
        <w:ind w:left="2382" w:hanging="2160"/>
      </w:pPr>
      <w:rPr>
        <w:color w:val="2D74B5"/>
      </w:rPr>
    </w:lvl>
  </w:abstractNum>
  <w:num w:numId="1">
    <w:abstractNumId w:val="6"/>
  </w:num>
  <w:num w:numId="2">
    <w:abstractNumId w:val="8"/>
  </w:num>
  <w:num w:numId="3">
    <w:abstractNumId w:val="4"/>
  </w:num>
  <w:num w:numId="4">
    <w:abstractNumId w:val="3"/>
  </w:num>
  <w:num w:numId="5">
    <w:abstractNumId w:val="9"/>
  </w:num>
  <w:num w:numId="6">
    <w:abstractNumId w:val="1"/>
  </w:num>
  <w:num w:numId="7">
    <w:abstractNumId w:val="2"/>
  </w:num>
  <w:num w:numId="8">
    <w:abstractNumId w:val="7"/>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3A4"/>
    <w:rsid w:val="000545DD"/>
    <w:rsid w:val="00086553"/>
    <w:rsid w:val="000A3FDE"/>
    <w:rsid w:val="000E6639"/>
    <w:rsid w:val="001C1513"/>
    <w:rsid w:val="00206CBC"/>
    <w:rsid w:val="00226B9D"/>
    <w:rsid w:val="002D3188"/>
    <w:rsid w:val="003073A4"/>
    <w:rsid w:val="00361929"/>
    <w:rsid w:val="003C16B2"/>
    <w:rsid w:val="004C3C95"/>
    <w:rsid w:val="004F739F"/>
    <w:rsid w:val="005130D3"/>
    <w:rsid w:val="005678DE"/>
    <w:rsid w:val="005E76D1"/>
    <w:rsid w:val="00631F5C"/>
    <w:rsid w:val="00656365"/>
    <w:rsid w:val="006679E2"/>
    <w:rsid w:val="00693215"/>
    <w:rsid w:val="0070599D"/>
    <w:rsid w:val="0074715F"/>
    <w:rsid w:val="00780708"/>
    <w:rsid w:val="00792351"/>
    <w:rsid w:val="007C065C"/>
    <w:rsid w:val="008120ED"/>
    <w:rsid w:val="00863BFB"/>
    <w:rsid w:val="00886E0D"/>
    <w:rsid w:val="008F1754"/>
    <w:rsid w:val="00AE0880"/>
    <w:rsid w:val="00AE5B3E"/>
    <w:rsid w:val="00B27C0F"/>
    <w:rsid w:val="00B91362"/>
    <w:rsid w:val="00C17B86"/>
    <w:rsid w:val="00C65639"/>
    <w:rsid w:val="00CD755B"/>
    <w:rsid w:val="00E944DE"/>
    <w:rsid w:val="00EF12C2"/>
    <w:rsid w:val="00F24F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8A156"/>
  <w15:docId w15:val="{E30FD909-716F-4A9D-8409-6FF89C92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ind w:left="720" w:hanging="360"/>
      <w:outlineLvl w:val="0"/>
    </w:pPr>
    <w:rPr>
      <w:rFonts w:ascii="Cambria" w:eastAsia="Cambria" w:hAnsi="Cambria" w:cs="Cambria"/>
      <w:color w:val="366091"/>
      <w:sz w:val="32"/>
      <w:szCs w:val="32"/>
    </w:rPr>
  </w:style>
  <w:style w:type="paragraph" w:styleId="Ttulo2">
    <w:name w:val="heading 2"/>
    <w:basedOn w:val="Normal"/>
    <w:next w:val="Normal"/>
    <w:pPr>
      <w:keepNext/>
      <w:keepLines/>
      <w:widowControl/>
      <w:spacing w:before="40"/>
      <w:outlineLvl w:val="1"/>
    </w:pPr>
    <w:rPr>
      <w:rFonts w:ascii="Cambria" w:eastAsia="Cambria" w:hAnsi="Cambria" w:cs="Cambria"/>
      <w:color w:val="366091"/>
      <w:sz w:val="26"/>
      <w:szCs w:val="26"/>
    </w:rPr>
  </w:style>
  <w:style w:type="paragraph" w:styleId="Ttulo3">
    <w:name w:val="heading 3"/>
    <w:basedOn w:val="Normal"/>
    <w:next w:val="Normal"/>
    <w:pPr>
      <w:widowControl/>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40"/>
      <w:outlineLvl w:val="3"/>
    </w:pPr>
    <w:rPr>
      <w:rFonts w:ascii="Cambria" w:eastAsia="Cambria" w:hAnsi="Cambria" w:cs="Cambria"/>
      <w:i/>
      <w:iCs/>
      <w:color w:val="366091"/>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widowControl/>
      <w:jc w:val="both"/>
    </w:pPr>
    <w:rPr>
      <w:rFonts w:ascii="Century Gothic" w:eastAsia="Century Gothic" w:hAnsi="Century Gothic" w:cs="Century Gothic"/>
    </w:rPr>
    <w:tblPr>
      <w:tblStyleRowBandSize w:val="1"/>
      <w:tblStyleColBandSize w:val="1"/>
      <w:tblCellMar>
        <w:top w:w="0" w:type="dxa"/>
        <w:left w:w="108" w:type="dxa"/>
        <w:bottom w:w="0" w:type="dxa"/>
        <w:right w:w="108" w:type="dxa"/>
      </w:tblCellMar>
    </w:tblPr>
  </w:style>
  <w:style w:type="table" w:customStyle="1" w:styleId="a0">
    <w:basedOn w:val="TableNormal"/>
    <w:pPr>
      <w:widowControl/>
      <w:jc w:val="both"/>
    </w:pPr>
    <w:rPr>
      <w:rFonts w:ascii="Century Gothic" w:eastAsia="Century Gothic" w:hAnsi="Century Gothic" w:cs="Century Gothic"/>
    </w:rPr>
    <w:tblPr>
      <w:tblStyleRowBandSize w:val="1"/>
      <w:tblStyleColBandSize w:val="1"/>
      <w:tblCellMar>
        <w:top w:w="0" w:type="dxa"/>
        <w:left w:w="108" w:type="dxa"/>
        <w:bottom w:w="0" w:type="dxa"/>
        <w:right w:w="108" w:type="dxa"/>
      </w:tblCellMar>
    </w:tblPr>
  </w:style>
  <w:style w:type="table" w:customStyle="1" w:styleId="a1">
    <w:basedOn w:val="TableNormal"/>
    <w:pPr>
      <w:widowControl/>
      <w:jc w:val="both"/>
    </w:pPr>
    <w:rPr>
      <w:rFonts w:ascii="Century Gothic" w:eastAsia="Century Gothic" w:hAnsi="Century Gothic" w:cs="Century Gothic"/>
    </w:rPr>
    <w:tblPr>
      <w:tblStyleRowBandSize w:val="1"/>
      <w:tblStyleColBandSize w:val="1"/>
      <w:tblCellMar>
        <w:top w:w="0" w:type="dxa"/>
        <w:left w:w="108" w:type="dxa"/>
        <w:bottom w:w="0" w:type="dxa"/>
        <w:right w:w="108" w:type="dxa"/>
      </w:tblCellMar>
    </w:tblPr>
  </w:style>
  <w:style w:type="table" w:customStyle="1" w:styleId="a2">
    <w:basedOn w:val="TableNormal"/>
    <w:pPr>
      <w:widowControl/>
      <w:jc w:val="both"/>
    </w:pPr>
    <w:rPr>
      <w:rFonts w:ascii="Century Gothic" w:eastAsia="Century Gothic" w:hAnsi="Century Gothic" w:cs="Century Gothic"/>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115" w:type="dxa"/>
        <w:left w:w="115" w:type="dxa"/>
        <w:bottom w:w="115" w:type="dxa"/>
        <w:right w:w="115" w:type="dxa"/>
      </w:tblCellMar>
    </w:tblPr>
  </w:style>
  <w:style w:type="paragraph" w:styleId="PargrafodaLista">
    <w:name w:val="List Paragraph"/>
    <w:basedOn w:val="Normal"/>
    <w:uiPriority w:val="34"/>
    <w:qFormat/>
    <w:rsid w:val="000545DD"/>
    <w:pPr>
      <w:ind w:left="720"/>
      <w:contextualSpacing/>
    </w:pPr>
  </w:style>
  <w:style w:type="paragraph" w:styleId="Textodebalo">
    <w:name w:val="Balloon Text"/>
    <w:basedOn w:val="Normal"/>
    <w:link w:val="TextodebaloChar"/>
    <w:uiPriority w:val="99"/>
    <w:semiHidden/>
    <w:unhideWhenUsed/>
    <w:rsid w:val="00863BFB"/>
    <w:rPr>
      <w:rFonts w:ascii="Segoe UI" w:hAnsi="Segoe UI" w:cs="Segoe UI"/>
      <w:sz w:val="18"/>
      <w:szCs w:val="18"/>
    </w:rPr>
  </w:style>
  <w:style w:type="character" w:customStyle="1" w:styleId="TextodebaloChar">
    <w:name w:val="Texto de balão Char"/>
    <w:basedOn w:val="Fontepargpadro"/>
    <w:link w:val="Textodebalo"/>
    <w:uiPriority w:val="99"/>
    <w:semiHidden/>
    <w:rsid w:val="00863B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uditoria@audiplacauditoria.com.br" TargetMode="External"/><Relationship Id="rId18" Type="http://schemas.openxmlformats.org/officeDocument/2006/relationships/image" Target="media/image6.png"/><Relationship Id="rId26" Type="http://schemas.openxmlformats.org/officeDocument/2006/relationships/hyperlink" Target="http://www.docasdoceara.com.br/governanca-corporativa" TargetMode="External"/><Relationship Id="rId3" Type="http://schemas.openxmlformats.org/officeDocument/2006/relationships/numbering" Target="numbering.xml"/><Relationship Id="rId21" Type="http://schemas.openxmlformats.org/officeDocument/2006/relationships/hyperlink" Target="https://www.coso.org/guidance-erm" TargetMode="External"/><Relationship Id="rId7" Type="http://schemas.openxmlformats.org/officeDocument/2006/relationships/footnotes" Target="footnotes.xml"/><Relationship Id="rId12" Type="http://schemas.openxmlformats.org/officeDocument/2006/relationships/hyperlink" Target="mailto:ivo.montenegro@docasdoceara.com.br"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casdoceara.com.br/acoes-e-programas" TargetMode="External"/><Relationship Id="rId20" Type="http://schemas.openxmlformats.org/officeDocument/2006/relationships/hyperlink" Target="http://www.docasdoceara.com.br/governanca-corporativa" TargetMode="External"/><Relationship Id="rId29" Type="http://schemas.openxmlformats.org/officeDocument/2006/relationships/hyperlink" Target="http://www.docasdoceara.com.br/conselho-administraca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docasdoceara.com.br/governanca-corporativ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docasdoceara.com.br/codigo-de-etica" TargetMode="External"/><Relationship Id="rId28" Type="http://schemas.openxmlformats.org/officeDocument/2006/relationships/hyperlink" Target="http://www.docasdoceara.com.br/comite-de-auditoria"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docasdoceara.com.br/integridad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docasdoceara.com.br/integridade" TargetMode="External"/><Relationship Id="rId27" Type="http://schemas.openxmlformats.org/officeDocument/2006/relationships/hyperlink" Target="http://www.docasdoceara.com.br/comite-de-auditoria" TargetMode="External"/><Relationship Id="rId30" Type="http://schemas.openxmlformats.org/officeDocument/2006/relationships/hyperlink" Target="http://www.docasdoceara.com.br/conselho-fiscal"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87mFNfHQtn9yoTDeJr1OgWSzUg==">CgMxLjAyDmguMjhtdTJyeWw3cDZxMg5oLjMxcmh1ZXlxMGZyczIOaC5yc2ZhbTlxd2QwMnMyDmguYWFnN294eWpnc2QzOAByITFyZUg2czR3MzlQa1I2cDMta3R5dmNRV250a3JTSGlNRQ==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F3C7BE-0C0C-4885-897A-5FCE7CD8A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17491</Words>
  <Characters>94455</Characters>
  <Application>Microsoft Office Word</Application>
  <DocSecurity>0</DocSecurity>
  <Lines>787</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Aylana Silva Monteiro</dc:creator>
  <cp:lastModifiedBy>Aylana Silva Monteiro</cp:lastModifiedBy>
  <cp:revision>2</cp:revision>
  <cp:lastPrinted>2026-05-11T14:22:00Z</cp:lastPrinted>
  <dcterms:created xsi:type="dcterms:W3CDTF">2026-05-13T20:09:00Z</dcterms:created>
  <dcterms:modified xsi:type="dcterms:W3CDTF">2026-05-13T20:09:00Z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2021-06-30T00:00:00Z</vt:lpwstr>
  </property>
  <property fmtid="{D5CDD505-2E9C-101B-9397-08002B2CF9AE}" pid="3" name="Creator">
    <vt:lpwstr>Microsoft® Word 2016</vt:lpwstr>
  </property>
  <property fmtid="{D5CDD505-2E9C-101B-9397-08002B2CF9AE}" pid="4" name="LastSaved">
    <vt:lpwstr>2022-04-25T00:00:00Z</vt:lpwstr>
  </property>
</Properties>
</file>