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4058"/>
        <w:rPr>
          <w:sz w:val="20"/>
        </w:rPr>
      </w:pPr>
      <w:bookmarkStart w:name="Ata de Reunião 661ª Reunião Ordinária do" w:id="1"/>
      <w:bookmarkEnd w:id="1"/>
      <w:r>
        <w:rPr/>
      </w:r>
      <w:r>
        <w:rPr>
          <w:sz w:val="20"/>
        </w:rPr>
        <w:drawing>
          <wp:inline distT="0" distB="0" distL="0" distR="0">
            <wp:extent cx="1688190" cy="1074991"/>
            <wp:effectExtent l="0" t="0" r="0" b="0"/>
            <wp:docPr id="3" name="Image 3"/>
            <wp:cNvGraphicFramePr>
              <a:graphicFrameLocks/>
            </wp:cNvGraphicFramePr>
            <a:graphic>
              <a:graphicData uri="http://schemas.openxmlformats.org/drawingml/2006/picture">
                <pic:pic>
                  <pic:nvPicPr>
                    <pic:cNvPr id="3" name="Image 3"/>
                    <pic:cNvPicPr/>
                  </pic:nvPicPr>
                  <pic:blipFill>
                    <a:blip r:embed="rId6" cstate="print"/>
                    <a:stretch>
                      <a:fillRect/>
                    </a:stretch>
                  </pic:blipFill>
                  <pic:spPr>
                    <a:xfrm>
                      <a:off x="0" y="0"/>
                      <a:ext cx="1688190" cy="1074991"/>
                    </a:xfrm>
                    <a:prstGeom prst="rect">
                      <a:avLst/>
                    </a:prstGeom>
                  </pic:spPr>
                </pic:pic>
              </a:graphicData>
            </a:graphic>
          </wp:inline>
        </w:drawing>
      </w:r>
      <w:r>
        <w:rPr>
          <w:sz w:val="20"/>
        </w:rPr>
      </w:r>
    </w:p>
    <w:p>
      <w:pPr>
        <w:pStyle w:val="BodyText"/>
        <w:spacing w:before="60"/>
        <w:ind w:left="12" w:right="12"/>
        <w:jc w:val="center"/>
      </w:pPr>
      <w:r>
        <w:rPr/>
        <w:t>COMPANHIA</w:t>
      </w:r>
      <w:r>
        <w:rPr>
          <w:spacing w:val="-15"/>
        </w:rPr>
        <w:t> </w:t>
      </w:r>
      <w:r>
        <w:rPr/>
        <w:t>DOCAS</w:t>
      </w:r>
      <w:r>
        <w:rPr>
          <w:spacing w:val="-14"/>
        </w:rPr>
        <w:t> </w:t>
      </w:r>
      <w:r>
        <w:rPr/>
        <w:t>DO</w:t>
      </w:r>
      <w:r>
        <w:rPr>
          <w:spacing w:val="-14"/>
        </w:rPr>
        <w:t> </w:t>
      </w:r>
      <w:r>
        <w:rPr>
          <w:spacing w:val="-2"/>
        </w:rPr>
        <w:t>CEARÁ</w:t>
      </w:r>
    </w:p>
    <w:p>
      <w:pPr>
        <w:spacing w:before="254"/>
        <w:ind w:left="4278" w:right="0" w:firstLine="0"/>
        <w:jc w:val="left"/>
        <w:rPr>
          <w:sz w:val="26"/>
        </w:rPr>
      </w:pPr>
      <w:r>
        <w:rPr>
          <w:sz w:val="26"/>
        </w:rPr>
        <w:t>ATA</w:t>
      </w:r>
      <w:r>
        <w:rPr>
          <w:spacing w:val="-2"/>
          <w:sz w:val="26"/>
        </w:rPr>
        <w:t> </w:t>
      </w:r>
      <w:r>
        <w:rPr>
          <w:sz w:val="26"/>
        </w:rPr>
        <w:t>DE</w:t>
      </w:r>
      <w:r>
        <w:rPr>
          <w:spacing w:val="-1"/>
          <w:sz w:val="26"/>
        </w:rPr>
        <w:t> </w:t>
      </w:r>
      <w:r>
        <w:rPr>
          <w:spacing w:val="-2"/>
          <w:sz w:val="26"/>
        </w:rPr>
        <w:t>REUNIÃO</w:t>
      </w:r>
    </w:p>
    <w:p>
      <w:pPr>
        <w:pStyle w:val="Title"/>
        <w:spacing w:line="439" w:lineRule="auto"/>
      </w:pPr>
      <w:r>
        <w:rPr/>
        <w:t>ATA DA 661ª REUNIÃO ORDINÁRIA DO CONSELHO FISCAL DA COMPANHIA DOCAS DO CEARÁ</w:t>
      </w:r>
    </w:p>
    <w:p>
      <w:pPr>
        <w:pStyle w:val="BodyText"/>
        <w:spacing w:before="92"/>
        <w:ind w:left="0"/>
        <w:rPr>
          <w:b/>
          <w:sz w:val="26"/>
        </w:rPr>
      </w:pPr>
    </w:p>
    <w:p>
      <w:pPr>
        <w:spacing w:before="0"/>
        <w:ind w:left="242" w:right="0" w:firstLine="0"/>
        <w:jc w:val="left"/>
        <w:rPr>
          <w:sz w:val="24"/>
        </w:rPr>
      </w:pPr>
      <w:r>
        <w:rPr>
          <w:b/>
          <w:sz w:val="24"/>
        </w:rPr>
        <w:t>DATA:</w:t>
      </w:r>
      <w:r>
        <w:rPr>
          <w:b/>
          <w:spacing w:val="-14"/>
          <w:sz w:val="24"/>
        </w:rPr>
        <w:t> </w:t>
      </w:r>
      <w:r>
        <w:rPr>
          <w:sz w:val="24"/>
        </w:rPr>
        <w:t>22/05/2026,</w:t>
      </w:r>
      <w:r>
        <w:rPr>
          <w:spacing w:val="-10"/>
          <w:sz w:val="24"/>
        </w:rPr>
        <w:t> </w:t>
      </w:r>
      <w:r>
        <w:rPr>
          <w:sz w:val="24"/>
        </w:rPr>
        <w:t>às</w:t>
      </w:r>
      <w:r>
        <w:rPr>
          <w:spacing w:val="-11"/>
          <w:sz w:val="24"/>
        </w:rPr>
        <w:t> </w:t>
      </w:r>
      <w:r>
        <w:rPr>
          <w:spacing w:val="-2"/>
          <w:sz w:val="24"/>
        </w:rPr>
        <w:t>08h30</w:t>
      </w:r>
    </w:p>
    <w:p>
      <w:pPr>
        <w:pStyle w:val="BodyText"/>
        <w:spacing w:before="118"/>
      </w:pPr>
      <w:r>
        <w:rPr>
          <w:b/>
        </w:rPr>
        <w:t>LOCAL:</w:t>
      </w:r>
      <w:r>
        <w:rPr>
          <w:b/>
          <w:spacing w:val="-5"/>
        </w:rPr>
        <w:t> </w:t>
      </w:r>
      <w:r>
        <w:rPr/>
        <w:t>Sala</w:t>
      </w:r>
      <w:r>
        <w:rPr>
          <w:spacing w:val="-7"/>
        </w:rPr>
        <w:t> </w:t>
      </w:r>
      <w:r>
        <w:rPr/>
        <w:t>de</w:t>
      </w:r>
      <w:r>
        <w:rPr>
          <w:spacing w:val="-8"/>
        </w:rPr>
        <w:t> </w:t>
      </w:r>
      <w:r>
        <w:rPr/>
        <w:t>Reuniões</w:t>
      </w:r>
      <w:r>
        <w:rPr>
          <w:spacing w:val="-7"/>
        </w:rPr>
        <w:t> </w:t>
      </w:r>
      <w:r>
        <w:rPr/>
        <w:t>da</w:t>
      </w:r>
      <w:r>
        <w:rPr>
          <w:spacing w:val="-7"/>
        </w:rPr>
        <w:t> </w:t>
      </w:r>
      <w:r>
        <w:rPr/>
        <w:t>CDC</w:t>
      </w:r>
      <w:r>
        <w:rPr>
          <w:spacing w:val="-15"/>
        </w:rPr>
        <w:t> </w:t>
      </w:r>
      <w:r>
        <w:rPr/>
        <w:t>e</w:t>
      </w:r>
      <w:r>
        <w:rPr>
          <w:spacing w:val="-7"/>
        </w:rPr>
        <w:t> </w:t>
      </w:r>
      <w:r>
        <w:rPr/>
        <w:t>por</w:t>
      </w:r>
      <w:r>
        <w:rPr>
          <w:spacing w:val="-8"/>
        </w:rPr>
        <w:t> </w:t>
      </w:r>
      <w:r>
        <w:rPr>
          <w:spacing w:val="-2"/>
        </w:rPr>
        <w:t>videoconferência</w:t>
      </w:r>
    </w:p>
    <w:p>
      <w:pPr>
        <w:pStyle w:val="BodyText"/>
        <w:spacing w:before="117"/>
        <w:ind w:right="255"/>
        <w:jc w:val="both"/>
      </w:pPr>
      <w:r>
        <w:rPr>
          <w:b/>
        </w:rPr>
        <w:t>PRESENÇAS DOS CONSELHEIROS:</w:t>
      </w:r>
      <w:r>
        <w:rPr>
          <w:b/>
          <w:spacing w:val="-5"/>
        </w:rPr>
        <w:t> </w:t>
      </w:r>
      <w:r>
        <w:rPr/>
        <w:t>Ivo Cordeiro Pinho Timbó, representante do Tesouro Nacional; Bruno Fernandes da Rocha Borba,</w:t>
      </w:r>
      <w:r>
        <w:rPr>
          <w:spacing w:val="-7"/>
        </w:rPr>
        <w:t> </w:t>
      </w:r>
      <w:r>
        <w:rPr/>
        <w:t>representante do Ministério de Portos e</w:t>
      </w:r>
      <w:r>
        <w:rPr>
          <w:spacing w:val="-8"/>
        </w:rPr>
        <w:t> </w:t>
      </w:r>
      <w:r>
        <w:rPr/>
        <w:t>Aeroportos; e George Christian Linhares Bezerra, representante suplente do Ministério de Portos e Aeroportos.</w:t>
      </w:r>
    </w:p>
    <w:p>
      <w:pPr>
        <w:pStyle w:val="BodyText"/>
        <w:spacing w:before="232"/>
        <w:ind w:left="0"/>
      </w:pPr>
    </w:p>
    <w:p>
      <w:pPr>
        <w:pStyle w:val="BodyText"/>
        <w:jc w:val="both"/>
      </w:pPr>
      <w:r>
        <w:rPr>
          <w:b/>
        </w:rPr>
        <w:t>Quórum:</w:t>
      </w:r>
      <w:r>
        <w:rPr>
          <w:b/>
          <w:spacing w:val="-13"/>
        </w:rPr>
        <w:t> </w:t>
      </w:r>
      <w:r>
        <w:rPr/>
        <w:t>Conselheiros</w:t>
      </w:r>
      <w:r>
        <w:rPr>
          <w:spacing w:val="-14"/>
        </w:rPr>
        <w:t> </w:t>
      </w:r>
      <w:r>
        <w:rPr/>
        <w:t>representando</w:t>
      </w:r>
      <w:r>
        <w:rPr>
          <w:spacing w:val="-14"/>
        </w:rPr>
        <w:t> </w:t>
      </w:r>
      <w:r>
        <w:rPr/>
        <w:t>100%</w:t>
      </w:r>
      <w:r>
        <w:rPr>
          <w:spacing w:val="-13"/>
        </w:rPr>
        <w:t> </w:t>
      </w:r>
      <w:r>
        <w:rPr/>
        <w:t>de</w:t>
      </w:r>
      <w:r>
        <w:rPr>
          <w:spacing w:val="-14"/>
        </w:rPr>
        <w:t> </w:t>
      </w:r>
      <w:r>
        <w:rPr>
          <w:spacing w:val="-2"/>
        </w:rPr>
        <w:t>presença.</w:t>
      </w:r>
    </w:p>
    <w:p>
      <w:pPr>
        <w:pStyle w:val="BodyText"/>
        <w:spacing w:before="235"/>
        <w:ind w:left="0"/>
      </w:pPr>
    </w:p>
    <w:p>
      <w:pPr>
        <w:pStyle w:val="BodyText"/>
        <w:ind w:right="254"/>
        <w:jc w:val="both"/>
      </w:pPr>
      <w:r>
        <w:rPr>
          <w:b/>
        </w:rPr>
        <w:t>Convidados:</w:t>
      </w:r>
      <w:r>
        <w:rPr>
          <w:b/>
          <w:spacing w:val="-6"/>
        </w:rPr>
        <w:t> </w:t>
      </w:r>
      <w:r>
        <w:rPr/>
        <w:t>José</w:t>
      </w:r>
      <w:r>
        <w:rPr>
          <w:spacing w:val="-7"/>
        </w:rPr>
        <w:t> </w:t>
      </w:r>
      <w:r>
        <w:rPr/>
        <w:t>Pereira</w:t>
      </w:r>
      <w:r>
        <w:rPr>
          <w:spacing w:val="-7"/>
        </w:rPr>
        <w:t> </w:t>
      </w:r>
      <w:r>
        <w:rPr/>
        <w:t>Campos</w:t>
      </w:r>
      <w:r>
        <w:rPr>
          <w:spacing w:val="-7"/>
        </w:rPr>
        <w:t> </w:t>
      </w:r>
      <w:r>
        <w:rPr/>
        <w:t>Júnior</w:t>
      </w:r>
      <w:r>
        <w:rPr>
          <w:spacing w:val="-7"/>
        </w:rPr>
        <w:t> </w:t>
      </w:r>
      <w:r>
        <w:rPr/>
        <w:t>-</w:t>
      </w:r>
      <w:r>
        <w:rPr>
          <w:spacing w:val="-7"/>
        </w:rPr>
        <w:t> </w:t>
      </w:r>
      <w:r>
        <w:rPr/>
        <w:t>Diretor</w:t>
      </w:r>
      <w:r>
        <w:rPr>
          <w:spacing w:val="-7"/>
        </w:rPr>
        <w:t> </w:t>
      </w:r>
      <w:r>
        <w:rPr/>
        <w:t>Comercial;</w:t>
      </w:r>
      <w:r>
        <w:rPr>
          <w:spacing w:val="-7"/>
        </w:rPr>
        <w:t> </w:t>
      </w:r>
      <w:r>
        <w:rPr/>
        <w:t>Rebeca</w:t>
      </w:r>
      <w:r>
        <w:rPr>
          <w:spacing w:val="-7"/>
        </w:rPr>
        <w:t> </w:t>
      </w:r>
      <w:r>
        <w:rPr/>
        <w:t>Soares</w:t>
      </w:r>
      <w:r>
        <w:rPr>
          <w:spacing w:val="-7"/>
        </w:rPr>
        <w:t> </w:t>
      </w:r>
      <w:r>
        <w:rPr/>
        <w:t>-</w:t>
      </w:r>
      <w:r>
        <w:rPr>
          <w:spacing w:val="-7"/>
        </w:rPr>
        <w:t> </w:t>
      </w:r>
      <w:r>
        <w:rPr/>
        <w:t>Coordenadora</w:t>
      </w:r>
      <w:r>
        <w:rPr>
          <w:spacing w:val="-7"/>
        </w:rPr>
        <w:t> </w:t>
      </w:r>
      <w:r>
        <w:rPr/>
        <w:t>de</w:t>
      </w:r>
      <w:r>
        <w:rPr>
          <w:spacing w:val="-15"/>
        </w:rPr>
        <w:t> </w:t>
      </w:r>
      <w:r>
        <w:rPr/>
        <w:t>Auditoria Interna; Antônio Erinaldo Malveira</w:t>
      </w:r>
      <w:r>
        <w:rPr>
          <w:spacing w:val="40"/>
        </w:rPr>
        <w:t> </w:t>
      </w:r>
      <w:r>
        <w:rPr/>
        <w:t>– Representante da Coordenadoria financeira; Ana Paula Schnorr - Coordenadora de Gestão Portuária.</w:t>
      </w:r>
    </w:p>
    <w:p>
      <w:pPr>
        <w:pStyle w:val="BodyText"/>
        <w:spacing w:before="231"/>
        <w:ind w:left="0"/>
      </w:pPr>
    </w:p>
    <w:p>
      <w:pPr>
        <w:pStyle w:val="Heading1"/>
        <w:numPr>
          <w:ilvl w:val="0"/>
          <w:numId w:val="1"/>
        </w:numPr>
        <w:tabs>
          <w:tab w:pos="479" w:val="left" w:leader="none"/>
        </w:tabs>
        <w:spacing w:line="240" w:lineRule="auto" w:before="0" w:after="0"/>
        <w:ind w:left="479" w:right="0" w:hanging="237"/>
        <w:jc w:val="left"/>
      </w:pPr>
      <w:r>
        <w:rPr/>
        <w:t>ABERTURA</w:t>
      </w:r>
      <w:r>
        <w:rPr>
          <w:spacing w:val="-15"/>
        </w:rPr>
        <w:t> </w:t>
      </w:r>
      <w:r>
        <w:rPr/>
        <w:t>DOS</w:t>
      </w:r>
      <w:r>
        <w:rPr>
          <w:spacing w:val="-15"/>
        </w:rPr>
        <w:t> </w:t>
      </w:r>
      <w:r>
        <w:rPr>
          <w:spacing w:val="-2"/>
        </w:rPr>
        <w:t>TRABALHOS</w:t>
      </w:r>
    </w:p>
    <w:p>
      <w:pPr>
        <w:pStyle w:val="BodyText"/>
        <w:spacing w:before="118"/>
        <w:ind w:right="245" w:firstLine="1406"/>
        <w:jc w:val="both"/>
      </w:pPr>
      <w:r>
        <w:rPr/>
        <w:t>Aberta</w:t>
      </w:r>
      <w:r>
        <w:rPr>
          <w:spacing w:val="-7"/>
        </w:rPr>
        <w:t> </w:t>
      </w:r>
      <w:r>
        <w:rPr/>
        <w:t>a</w:t>
      </w:r>
      <w:r>
        <w:rPr>
          <w:spacing w:val="-7"/>
        </w:rPr>
        <w:t> </w:t>
      </w:r>
      <w:r>
        <w:rPr/>
        <w:t>sessão</w:t>
      </w:r>
      <w:r>
        <w:rPr>
          <w:spacing w:val="-7"/>
        </w:rPr>
        <w:t> </w:t>
      </w:r>
      <w:r>
        <w:rPr/>
        <w:t>e</w:t>
      </w:r>
      <w:r>
        <w:rPr>
          <w:spacing w:val="-7"/>
        </w:rPr>
        <w:t> </w:t>
      </w:r>
      <w:r>
        <w:rPr/>
        <w:t>em</w:t>
      </w:r>
      <w:r>
        <w:rPr>
          <w:spacing w:val="-7"/>
        </w:rPr>
        <w:t> </w:t>
      </w:r>
      <w:r>
        <w:rPr/>
        <w:t>atendimento</w:t>
      </w:r>
      <w:r>
        <w:rPr>
          <w:spacing w:val="-7"/>
        </w:rPr>
        <w:t> </w:t>
      </w:r>
      <w:r>
        <w:rPr/>
        <w:t>ao</w:t>
      </w:r>
      <w:r>
        <w:rPr>
          <w:spacing w:val="-7"/>
        </w:rPr>
        <w:t> </w:t>
      </w:r>
      <w:r>
        <w:rPr/>
        <w:t>que</w:t>
      </w:r>
      <w:r>
        <w:rPr>
          <w:spacing w:val="-7"/>
        </w:rPr>
        <w:t> </w:t>
      </w:r>
      <w:r>
        <w:rPr/>
        <w:t>preceitua</w:t>
      </w:r>
      <w:r>
        <w:rPr>
          <w:spacing w:val="-7"/>
        </w:rPr>
        <w:t> </w:t>
      </w:r>
      <w:r>
        <w:rPr/>
        <w:t>o</w:t>
      </w:r>
      <w:r>
        <w:rPr>
          <w:spacing w:val="-7"/>
        </w:rPr>
        <w:t> </w:t>
      </w:r>
      <w:r>
        <w:rPr/>
        <w:t>art.</w:t>
      </w:r>
      <w:r>
        <w:rPr>
          <w:spacing w:val="-7"/>
        </w:rPr>
        <w:t> </w:t>
      </w:r>
      <w:r>
        <w:rPr/>
        <w:t>2º</w:t>
      </w:r>
      <w:r>
        <w:rPr>
          <w:spacing w:val="-7"/>
        </w:rPr>
        <w:t> </w:t>
      </w:r>
      <w:r>
        <w:rPr/>
        <w:t>do</w:t>
      </w:r>
      <w:r>
        <w:rPr>
          <w:spacing w:val="-7"/>
        </w:rPr>
        <w:t> </w:t>
      </w:r>
      <w:r>
        <w:rPr/>
        <w:t>vigente</w:t>
      </w:r>
      <w:r>
        <w:rPr>
          <w:spacing w:val="-7"/>
        </w:rPr>
        <w:t> </w:t>
      </w:r>
      <w:r>
        <w:rPr/>
        <w:t>Regimento</w:t>
      </w:r>
      <w:r>
        <w:rPr>
          <w:spacing w:val="-7"/>
        </w:rPr>
        <w:t> </w:t>
      </w:r>
      <w:r>
        <w:rPr/>
        <w:t>Interno</w:t>
      </w:r>
      <w:r>
        <w:rPr>
          <w:spacing w:val="-7"/>
        </w:rPr>
        <w:t> </w:t>
      </w:r>
      <w:r>
        <w:rPr/>
        <w:t>do CONFIS e o art. 80 do Estatuto Social vigente da CDC, ocorreu a apresentação do membro suplente deste Conselho,</w:t>
      </w:r>
      <w:r>
        <w:rPr>
          <w:spacing w:val="-4"/>
        </w:rPr>
        <w:t> </w:t>
      </w:r>
      <w:r>
        <w:rPr/>
        <w:t>George</w:t>
      </w:r>
      <w:r>
        <w:rPr>
          <w:spacing w:val="-9"/>
        </w:rPr>
        <w:t> </w:t>
      </w:r>
      <w:r>
        <w:rPr/>
        <w:t>Christian</w:t>
      </w:r>
      <w:r>
        <w:rPr>
          <w:spacing w:val="-9"/>
        </w:rPr>
        <w:t> </w:t>
      </w:r>
      <w:r>
        <w:rPr/>
        <w:t>Linhares</w:t>
      </w:r>
      <w:r>
        <w:rPr>
          <w:spacing w:val="-9"/>
        </w:rPr>
        <w:t> </w:t>
      </w:r>
      <w:r>
        <w:rPr/>
        <w:t>Bezerra,</w:t>
      </w:r>
      <w:r>
        <w:rPr>
          <w:spacing w:val="-9"/>
        </w:rPr>
        <w:t> </w:t>
      </w:r>
      <w:r>
        <w:rPr/>
        <w:t>representante</w:t>
      </w:r>
      <w:r>
        <w:rPr>
          <w:spacing w:val="-9"/>
        </w:rPr>
        <w:t> </w:t>
      </w:r>
      <w:r>
        <w:rPr/>
        <w:t>do</w:t>
      </w:r>
      <w:r>
        <w:rPr>
          <w:spacing w:val="-9"/>
        </w:rPr>
        <w:t> </w:t>
      </w:r>
      <w:r>
        <w:rPr/>
        <w:t>Ministério</w:t>
      </w:r>
      <w:r>
        <w:rPr>
          <w:spacing w:val="-9"/>
        </w:rPr>
        <w:t> </w:t>
      </w:r>
      <w:r>
        <w:rPr/>
        <w:t>de</w:t>
      </w:r>
      <w:r>
        <w:rPr>
          <w:spacing w:val="-9"/>
        </w:rPr>
        <w:t> </w:t>
      </w:r>
      <w:r>
        <w:rPr/>
        <w:t>Portos</w:t>
      </w:r>
      <w:r>
        <w:rPr>
          <w:spacing w:val="-9"/>
        </w:rPr>
        <w:t> </w:t>
      </w:r>
      <w:r>
        <w:rPr/>
        <w:t>e</w:t>
      </w:r>
      <w:r>
        <w:rPr>
          <w:spacing w:val="-9"/>
        </w:rPr>
        <w:t> </w:t>
      </w:r>
      <w:r>
        <w:rPr/>
        <w:t>Aeroportos,</w:t>
      </w:r>
      <w:r>
        <w:rPr>
          <w:spacing w:val="-9"/>
        </w:rPr>
        <w:t> </w:t>
      </w:r>
      <w:r>
        <w:rPr/>
        <w:t>eleito</w:t>
      </w:r>
      <w:r>
        <w:rPr>
          <w:spacing w:val="-9"/>
        </w:rPr>
        <w:t> </w:t>
      </w:r>
      <w:r>
        <w:rPr/>
        <w:t>na 60ª Assembleia Geral da Extraordinária e 144ª Extraordinária da CDC, realizada em 22/05/2026, e cuja investidura no cargo se deu nessa mesma data, conforme parágrafo único, do art. 30, do Estatuto Social da </w:t>
      </w:r>
      <w:r>
        <w:rPr>
          <w:spacing w:val="-4"/>
        </w:rPr>
        <w:t>CDC.</w:t>
      </w:r>
    </w:p>
    <w:p>
      <w:pPr>
        <w:pStyle w:val="BodyText"/>
        <w:spacing w:before="109"/>
        <w:ind w:firstLine="1406"/>
      </w:pPr>
      <w:r>
        <w:rPr/>
        <w:t>O Conselheiro recebeu, nesta oportunidade, arquivos contendo normas relevantes da CDC e informações de forma a atender ao preceituado no art. 42 do Decreto nº 8.945/2016.</w:t>
      </w:r>
    </w:p>
    <w:p>
      <w:pPr>
        <w:pStyle w:val="BodyText"/>
        <w:spacing w:before="116"/>
        <w:ind w:firstLine="1406"/>
      </w:pPr>
      <w:r>
        <w:rPr/>
        <w:t>Os</w:t>
      </w:r>
      <w:r>
        <w:rPr>
          <w:spacing w:val="40"/>
        </w:rPr>
        <w:t> </w:t>
      </w:r>
      <w:r>
        <w:rPr/>
        <w:t>Conselheiros</w:t>
      </w:r>
      <w:r>
        <w:rPr>
          <w:spacing w:val="40"/>
        </w:rPr>
        <w:t> </w:t>
      </w:r>
      <w:r>
        <w:rPr/>
        <w:t>deram</w:t>
      </w:r>
      <w:r>
        <w:rPr>
          <w:spacing w:val="40"/>
        </w:rPr>
        <w:t> </w:t>
      </w:r>
      <w:r>
        <w:rPr/>
        <w:t>as</w:t>
      </w:r>
      <w:r>
        <w:rPr>
          <w:spacing w:val="40"/>
        </w:rPr>
        <w:t> </w:t>
      </w:r>
      <w:r>
        <w:rPr/>
        <w:t>boas-vindas</w:t>
      </w:r>
      <w:r>
        <w:rPr>
          <w:spacing w:val="40"/>
        </w:rPr>
        <w:t> </w:t>
      </w:r>
      <w:r>
        <w:rPr/>
        <w:t>ao</w:t>
      </w:r>
      <w:r>
        <w:rPr>
          <w:spacing w:val="40"/>
        </w:rPr>
        <w:t> </w:t>
      </w:r>
      <w:r>
        <w:rPr/>
        <w:t>novo</w:t>
      </w:r>
      <w:r>
        <w:rPr>
          <w:spacing w:val="40"/>
        </w:rPr>
        <w:t> </w:t>
      </w:r>
      <w:r>
        <w:rPr/>
        <w:t>membro</w:t>
      </w:r>
      <w:r>
        <w:rPr>
          <w:spacing w:val="40"/>
        </w:rPr>
        <w:t> </w:t>
      </w:r>
      <w:r>
        <w:rPr/>
        <w:t>e,</w:t>
      </w:r>
      <w:r>
        <w:rPr>
          <w:spacing w:val="40"/>
        </w:rPr>
        <w:t> </w:t>
      </w:r>
      <w:r>
        <w:rPr/>
        <w:t>na</w:t>
      </w:r>
      <w:r>
        <w:rPr>
          <w:spacing w:val="40"/>
        </w:rPr>
        <w:t> </w:t>
      </w:r>
      <w:r>
        <w:rPr/>
        <w:t>sequência,</w:t>
      </w:r>
      <w:r>
        <w:rPr>
          <w:spacing w:val="40"/>
        </w:rPr>
        <w:t> </w:t>
      </w:r>
      <w:r>
        <w:rPr/>
        <w:t>foi</w:t>
      </w:r>
      <w:r>
        <w:rPr>
          <w:spacing w:val="40"/>
        </w:rPr>
        <w:t> </w:t>
      </w:r>
      <w:r>
        <w:rPr/>
        <w:t>iniciado</w:t>
      </w:r>
      <w:r>
        <w:rPr>
          <w:spacing w:val="40"/>
        </w:rPr>
        <w:t> </w:t>
      </w:r>
      <w:r>
        <w:rPr/>
        <w:t>o tratamento do primeiro item da pauta.</w:t>
      </w:r>
    </w:p>
    <w:p>
      <w:pPr>
        <w:pStyle w:val="BodyText"/>
        <w:spacing w:before="233"/>
        <w:ind w:left="0"/>
      </w:pPr>
    </w:p>
    <w:p>
      <w:pPr>
        <w:pStyle w:val="Heading1"/>
        <w:numPr>
          <w:ilvl w:val="0"/>
          <w:numId w:val="1"/>
        </w:numPr>
        <w:tabs>
          <w:tab w:pos="479" w:val="left" w:leader="none"/>
        </w:tabs>
        <w:spacing w:line="240" w:lineRule="auto" w:before="0" w:after="0"/>
        <w:ind w:left="479" w:right="0" w:hanging="237"/>
        <w:jc w:val="left"/>
      </w:pPr>
      <w:r>
        <w:rPr/>
        <w:t>ORDEM</w:t>
      </w:r>
      <w:r>
        <w:rPr>
          <w:spacing w:val="-10"/>
        </w:rPr>
        <w:t> </w:t>
      </w:r>
      <w:r>
        <w:rPr/>
        <w:t>DO</w:t>
      </w:r>
      <w:r>
        <w:rPr>
          <w:spacing w:val="-10"/>
        </w:rPr>
        <w:t> </w:t>
      </w:r>
      <w:r>
        <w:rPr>
          <w:spacing w:val="-4"/>
        </w:rPr>
        <w:t>DIA:</w:t>
      </w:r>
    </w:p>
    <w:p>
      <w:pPr>
        <w:pStyle w:val="BodyText"/>
        <w:spacing w:before="235"/>
        <w:ind w:left="0"/>
        <w:rPr>
          <w:b/>
        </w:rPr>
      </w:pPr>
    </w:p>
    <w:p>
      <w:pPr>
        <w:pStyle w:val="Heading2"/>
        <w:numPr>
          <w:ilvl w:val="1"/>
          <w:numId w:val="1"/>
        </w:numPr>
        <w:tabs>
          <w:tab w:pos="643" w:val="left" w:leader="none"/>
        </w:tabs>
        <w:spacing w:line="240" w:lineRule="auto" w:before="0" w:after="0"/>
        <w:ind w:left="242" w:right="256" w:firstLine="0"/>
        <w:jc w:val="left"/>
      </w:pPr>
      <w:r>
        <w:rPr/>
        <w:t>- Análise</w:t>
      </w:r>
      <w:r>
        <w:rPr>
          <w:spacing w:val="35"/>
        </w:rPr>
        <w:t> </w:t>
      </w:r>
      <w:r>
        <w:rPr/>
        <w:t>do</w:t>
      </w:r>
      <w:r>
        <w:rPr>
          <w:spacing w:val="35"/>
        </w:rPr>
        <w:t> </w:t>
      </w:r>
      <w:r>
        <w:rPr/>
        <w:t>Balancete</w:t>
      </w:r>
      <w:r>
        <w:rPr>
          <w:spacing w:val="35"/>
        </w:rPr>
        <w:t> </w:t>
      </w:r>
      <w:r>
        <w:rPr/>
        <w:t>e</w:t>
      </w:r>
      <w:r>
        <w:rPr>
          <w:spacing w:val="35"/>
        </w:rPr>
        <w:t> </w:t>
      </w:r>
      <w:r>
        <w:rPr/>
        <w:t>acompanhamento</w:t>
      </w:r>
      <w:r>
        <w:rPr>
          <w:spacing w:val="35"/>
        </w:rPr>
        <w:t> </w:t>
      </w:r>
      <w:r>
        <w:rPr/>
        <w:t>mensal</w:t>
      </w:r>
      <w:r>
        <w:rPr>
          <w:spacing w:val="35"/>
        </w:rPr>
        <w:t> </w:t>
      </w:r>
      <w:r>
        <w:rPr/>
        <w:t>dos</w:t>
      </w:r>
      <w:r>
        <w:rPr>
          <w:spacing w:val="35"/>
        </w:rPr>
        <w:t> </w:t>
      </w:r>
      <w:r>
        <w:rPr/>
        <w:t>resultados</w:t>
      </w:r>
      <w:r>
        <w:rPr>
          <w:spacing w:val="35"/>
        </w:rPr>
        <w:t> </w:t>
      </w:r>
      <w:r>
        <w:rPr/>
        <w:t>econômicos</w:t>
      </w:r>
      <w:r>
        <w:rPr>
          <w:spacing w:val="35"/>
        </w:rPr>
        <w:t> </w:t>
      </w:r>
      <w:r>
        <w:rPr/>
        <w:t>–</w:t>
      </w:r>
      <w:r>
        <w:rPr>
          <w:spacing w:val="35"/>
        </w:rPr>
        <w:t> </w:t>
      </w:r>
      <w:r>
        <w:rPr/>
        <w:t>financeiros</w:t>
      </w:r>
      <w:r>
        <w:rPr>
          <w:spacing w:val="35"/>
        </w:rPr>
        <w:t> </w:t>
      </w:r>
      <w:r>
        <w:rPr/>
        <w:t>– março / 2026</w:t>
      </w:r>
    </w:p>
    <w:p>
      <w:pPr>
        <w:pStyle w:val="BodyText"/>
        <w:spacing w:before="116"/>
        <w:ind w:right="241" w:firstLine="1406"/>
        <w:jc w:val="both"/>
      </w:pPr>
      <w:r>
        <w:rPr/>
        <w:t>O Conselho recebeu o Relatório de Análise das Contas do Balancete da Companhia Docas do Ceará, referente ao mês de março / 2026, apresentado pela Controller Auditoria e Assessoria Contábil S/S, que assessora este Colegiado. O representante da Coordenadoria do financeiro,</w:t>
      </w:r>
      <w:r>
        <w:rPr>
          <w:spacing w:val="-6"/>
        </w:rPr>
        <w:t> </w:t>
      </w:r>
      <w:r>
        <w:rPr/>
        <w:t>Antônio Erinaldo Malveira, participou da reunião e apresentou o acompanhamento mensal dos resultados econômico – financeiro, referente às receitas e despesas da CDC do mês de março / 2026, esclarecendo as dúvidas dos </w:t>
      </w:r>
      <w:r>
        <w:rPr>
          <w:spacing w:val="-2"/>
        </w:rPr>
        <w:t>conselheiros.</w:t>
      </w:r>
    </w:p>
    <w:p>
      <w:pPr>
        <w:pStyle w:val="BodyText"/>
        <w:spacing w:after="0"/>
        <w:jc w:val="both"/>
        <w:sectPr>
          <w:footerReference w:type="default" r:id="rId5"/>
          <w:type w:val="continuous"/>
          <w:pgSz w:w="11900" w:h="16840"/>
          <w:pgMar w:header="0" w:footer="181" w:top="560" w:bottom="380" w:left="566" w:right="566"/>
          <w:pgNumType w:start="1"/>
        </w:sectPr>
      </w:pPr>
    </w:p>
    <w:p>
      <w:pPr>
        <w:pStyle w:val="BodyText"/>
        <w:spacing w:before="60"/>
        <w:ind w:right="250" w:firstLine="1406"/>
        <w:jc w:val="both"/>
      </w:pPr>
      <w:r>
        <w:rPr/>
        <w:t>O Conselho solicita que seja justificada a redução de 50% registrada na conta “411.01.05.0004 - Energia”, no comparativo entre os meses de março/2025 e março/2026, esclarecendo se houve alguma alteração de um exercício para o outro que tenha ocasionado tal variação.</w:t>
      </w:r>
    </w:p>
    <w:p>
      <w:pPr>
        <w:pStyle w:val="BodyText"/>
        <w:spacing w:before="114"/>
        <w:ind w:right="247" w:firstLine="1406"/>
        <w:jc w:val="both"/>
      </w:pPr>
      <w:r>
        <w:rPr/>
        <w:t>O Conselho solicita, ainda, manifestação quanto ao valor de R$ 47.610,00 registrado na conta “511.01.05.0025 - Multas e Autos de Infração”.</w:t>
      </w:r>
    </w:p>
    <w:p>
      <w:pPr>
        <w:pStyle w:val="BodyText"/>
        <w:spacing w:before="116"/>
        <w:ind w:right="249" w:firstLine="1406"/>
        <w:jc w:val="both"/>
      </w:pPr>
      <w:r>
        <w:rPr/>
        <w:t>Adicionalmente, o Conselho solicita manifestação acerca do valor de R$ 15.149,00 registrado</w:t>
      </w:r>
      <w:r>
        <w:rPr>
          <w:spacing w:val="-3"/>
        </w:rPr>
        <w:t> </w:t>
      </w:r>
      <w:r>
        <w:rPr/>
        <w:t>na</w:t>
      </w:r>
      <w:r>
        <w:rPr>
          <w:spacing w:val="-3"/>
        </w:rPr>
        <w:t> </w:t>
      </w:r>
      <w:r>
        <w:rPr/>
        <w:t>conta</w:t>
      </w:r>
      <w:r>
        <w:rPr>
          <w:spacing w:val="-3"/>
        </w:rPr>
        <w:t> </w:t>
      </w:r>
      <w:r>
        <w:rPr/>
        <w:t>“511.01.04.0009</w:t>
      </w:r>
      <w:r>
        <w:rPr>
          <w:spacing w:val="-3"/>
        </w:rPr>
        <w:t> </w:t>
      </w:r>
      <w:r>
        <w:rPr/>
        <w:t>-</w:t>
      </w:r>
      <w:r>
        <w:rPr>
          <w:spacing w:val="-3"/>
        </w:rPr>
        <w:t> </w:t>
      </w:r>
      <w:r>
        <w:rPr/>
        <w:t>Combustíveis</w:t>
      </w:r>
      <w:r>
        <w:rPr>
          <w:spacing w:val="-3"/>
        </w:rPr>
        <w:t> </w:t>
      </w:r>
      <w:r>
        <w:rPr/>
        <w:t>e</w:t>
      </w:r>
      <w:r>
        <w:rPr>
          <w:spacing w:val="-3"/>
        </w:rPr>
        <w:t> </w:t>
      </w:r>
      <w:r>
        <w:rPr/>
        <w:t>Lubrificantes”</w:t>
      </w:r>
      <w:r>
        <w:rPr>
          <w:spacing w:val="-3"/>
        </w:rPr>
        <w:t> </w:t>
      </w:r>
      <w:r>
        <w:rPr/>
        <w:t>no</w:t>
      </w:r>
      <w:r>
        <w:rPr>
          <w:spacing w:val="-3"/>
        </w:rPr>
        <w:t> </w:t>
      </w:r>
      <w:r>
        <w:rPr/>
        <w:t>mês</w:t>
      </w:r>
      <w:r>
        <w:rPr>
          <w:spacing w:val="-3"/>
        </w:rPr>
        <w:t> </w:t>
      </w:r>
      <w:r>
        <w:rPr/>
        <w:t>de</w:t>
      </w:r>
      <w:r>
        <w:rPr>
          <w:spacing w:val="-3"/>
        </w:rPr>
        <w:t> </w:t>
      </w:r>
      <w:r>
        <w:rPr/>
        <w:t>março/2026,</w:t>
      </w:r>
      <w:r>
        <w:rPr>
          <w:spacing w:val="-3"/>
        </w:rPr>
        <w:t> </w:t>
      </w:r>
      <w:r>
        <w:rPr/>
        <w:t>considerando que não houve registro de despesa na referida conta no mês de fevereiro/2026.</w:t>
      </w:r>
    </w:p>
    <w:p>
      <w:pPr>
        <w:pStyle w:val="BodyText"/>
        <w:spacing w:before="114"/>
        <w:ind w:right="241" w:firstLine="1406"/>
        <w:jc w:val="both"/>
      </w:pPr>
      <w:r>
        <w:rPr/>
        <w:t>Diante do acúmulo de pagamentos de notas fiscais referentes a competências anteriores em um único mês, especialmente no âmbito dos serviços contínuos, o Conselho solicita que a CODFIN elabore</w:t>
      </w:r>
      <w:r>
        <w:rPr>
          <w:spacing w:val="-1"/>
        </w:rPr>
        <w:t> </w:t>
      </w:r>
      <w:r>
        <w:rPr/>
        <w:t>mensalmente</w:t>
      </w:r>
      <w:r>
        <w:rPr>
          <w:spacing w:val="-1"/>
        </w:rPr>
        <w:t> </w:t>
      </w:r>
      <w:r>
        <w:rPr/>
        <w:t>relatório</w:t>
      </w:r>
      <w:r>
        <w:rPr>
          <w:spacing w:val="-1"/>
        </w:rPr>
        <w:t> </w:t>
      </w:r>
      <w:r>
        <w:rPr/>
        <w:t>segregado</w:t>
      </w:r>
      <w:r>
        <w:rPr>
          <w:spacing w:val="-1"/>
        </w:rPr>
        <w:t> </w:t>
      </w:r>
      <w:r>
        <w:rPr/>
        <w:t>das</w:t>
      </w:r>
      <w:r>
        <w:rPr>
          <w:spacing w:val="-1"/>
        </w:rPr>
        <w:t> </w:t>
      </w:r>
      <w:r>
        <w:rPr/>
        <w:t>contratações</w:t>
      </w:r>
      <w:r>
        <w:rPr>
          <w:spacing w:val="-1"/>
        </w:rPr>
        <w:t> </w:t>
      </w:r>
      <w:r>
        <w:rPr/>
        <w:t>dos</w:t>
      </w:r>
      <w:r>
        <w:rPr>
          <w:spacing w:val="-1"/>
        </w:rPr>
        <w:t> </w:t>
      </w:r>
      <w:r>
        <w:rPr/>
        <w:t>serviços</w:t>
      </w:r>
      <w:r>
        <w:rPr>
          <w:spacing w:val="-1"/>
        </w:rPr>
        <w:t> </w:t>
      </w:r>
      <w:r>
        <w:rPr/>
        <w:t>contínuos</w:t>
      </w:r>
      <w:r>
        <w:rPr>
          <w:spacing w:val="-1"/>
        </w:rPr>
        <w:t> </w:t>
      </w:r>
      <w:r>
        <w:rPr/>
        <w:t>cujo</w:t>
      </w:r>
      <w:r>
        <w:rPr>
          <w:spacing w:val="-1"/>
        </w:rPr>
        <w:t> </w:t>
      </w:r>
      <w:r>
        <w:rPr/>
        <w:t>pagamento</w:t>
      </w:r>
      <w:r>
        <w:rPr>
          <w:spacing w:val="-1"/>
        </w:rPr>
        <w:t> </w:t>
      </w:r>
      <w:r>
        <w:rPr/>
        <w:t>deve</w:t>
      </w:r>
      <w:r>
        <w:rPr>
          <w:spacing w:val="-1"/>
        </w:rPr>
        <w:t> </w:t>
      </w:r>
      <w:r>
        <w:rPr/>
        <w:t>ser mensal, de forma a possibilitar a identificação individualizada desses pagamentos mensais e o controle da concentração dessas despesas em períodos diversos do mês de referência, ação que deve ser evitada.</w:t>
      </w:r>
    </w:p>
    <w:p>
      <w:pPr>
        <w:pStyle w:val="BodyText"/>
        <w:spacing w:before="228"/>
        <w:ind w:left="0"/>
      </w:pPr>
    </w:p>
    <w:p>
      <w:pPr>
        <w:pStyle w:val="Heading2"/>
        <w:numPr>
          <w:ilvl w:val="1"/>
          <w:numId w:val="1"/>
        </w:numPr>
        <w:tabs>
          <w:tab w:pos="599" w:val="left" w:leader="none"/>
        </w:tabs>
        <w:spacing w:line="240" w:lineRule="auto" w:before="0" w:after="0"/>
        <w:ind w:left="599" w:right="0" w:hanging="357"/>
        <w:jc w:val="left"/>
      </w:pPr>
      <w:r>
        <w:rPr/>
        <w:t>-</w:t>
      </w:r>
      <w:r>
        <w:rPr>
          <w:spacing w:val="-9"/>
        </w:rPr>
        <w:t> </w:t>
      </w:r>
      <w:r>
        <w:rPr/>
        <w:t>NEFIL</w:t>
      </w:r>
      <w:r>
        <w:rPr>
          <w:spacing w:val="-9"/>
        </w:rPr>
        <w:t> </w:t>
      </w:r>
      <w:r>
        <w:rPr/>
        <w:t>e</w:t>
      </w:r>
      <w:r>
        <w:rPr>
          <w:spacing w:val="-9"/>
        </w:rPr>
        <w:t> </w:t>
      </w:r>
      <w:r>
        <w:rPr/>
        <w:t>Execução</w:t>
      </w:r>
      <w:r>
        <w:rPr>
          <w:spacing w:val="-9"/>
        </w:rPr>
        <w:t> </w:t>
      </w:r>
      <w:r>
        <w:rPr/>
        <w:t>Orçamentária</w:t>
      </w:r>
      <w:r>
        <w:rPr>
          <w:spacing w:val="-9"/>
        </w:rPr>
        <w:t> </w:t>
      </w:r>
      <w:r>
        <w:rPr/>
        <w:t>–</w:t>
      </w:r>
      <w:r>
        <w:rPr>
          <w:spacing w:val="-9"/>
        </w:rPr>
        <w:t> </w:t>
      </w:r>
      <w:r>
        <w:rPr/>
        <w:t>março</w:t>
      </w:r>
      <w:r>
        <w:rPr>
          <w:spacing w:val="-8"/>
        </w:rPr>
        <w:t> </w:t>
      </w:r>
      <w:r>
        <w:rPr/>
        <w:t>/</w:t>
      </w:r>
      <w:r>
        <w:rPr>
          <w:spacing w:val="-9"/>
        </w:rPr>
        <w:t> </w:t>
      </w:r>
      <w:r>
        <w:rPr>
          <w:spacing w:val="-4"/>
        </w:rPr>
        <w:t>2026</w:t>
      </w:r>
    </w:p>
    <w:p>
      <w:pPr>
        <w:pStyle w:val="BodyText"/>
        <w:spacing w:before="118"/>
        <w:ind w:left="1649"/>
      </w:pPr>
      <w:r>
        <w:rPr/>
        <w:t>O</w:t>
      </w:r>
      <w:r>
        <w:rPr>
          <w:spacing w:val="-2"/>
        </w:rPr>
        <w:t> </w:t>
      </w:r>
      <w:r>
        <w:rPr/>
        <w:t>Conselho</w:t>
      </w:r>
      <w:r>
        <w:rPr>
          <w:spacing w:val="-1"/>
        </w:rPr>
        <w:t> </w:t>
      </w:r>
      <w:r>
        <w:rPr/>
        <w:t>recebeu</w:t>
      </w:r>
      <w:r>
        <w:rPr>
          <w:spacing w:val="-1"/>
        </w:rPr>
        <w:t> </w:t>
      </w:r>
      <w:r>
        <w:rPr/>
        <w:t>o</w:t>
      </w:r>
      <w:r>
        <w:rPr>
          <w:spacing w:val="-1"/>
        </w:rPr>
        <w:t> </w:t>
      </w:r>
      <w:r>
        <w:rPr/>
        <w:t>NEFIL</w:t>
      </w:r>
      <w:r>
        <w:rPr>
          <w:spacing w:val="-12"/>
        </w:rPr>
        <w:t> </w:t>
      </w:r>
      <w:r>
        <w:rPr/>
        <w:t>e</w:t>
      </w:r>
      <w:r>
        <w:rPr>
          <w:spacing w:val="-1"/>
        </w:rPr>
        <w:t> </w:t>
      </w:r>
      <w:r>
        <w:rPr/>
        <w:t>o</w:t>
      </w:r>
      <w:r>
        <w:rPr>
          <w:spacing w:val="-1"/>
        </w:rPr>
        <w:t> </w:t>
      </w:r>
      <w:r>
        <w:rPr/>
        <w:t>relatório</w:t>
      </w:r>
      <w:r>
        <w:rPr>
          <w:spacing w:val="-1"/>
        </w:rPr>
        <w:t> </w:t>
      </w:r>
      <w:r>
        <w:rPr/>
        <w:t>de</w:t>
      </w:r>
      <w:r>
        <w:rPr>
          <w:spacing w:val="-1"/>
        </w:rPr>
        <w:t> </w:t>
      </w:r>
      <w:r>
        <w:rPr/>
        <w:t>Execução</w:t>
      </w:r>
      <w:r>
        <w:rPr>
          <w:spacing w:val="-1"/>
        </w:rPr>
        <w:t> </w:t>
      </w:r>
      <w:r>
        <w:rPr/>
        <w:t>Orçamentária,</w:t>
      </w:r>
      <w:r>
        <w:rPr>
          <w:spacing w:val="-1"/>
        </w:rPr>
        <w:t> </w:t>
      </w:r>
      <w:r>
        <w:rPr/>
        <w:t>referentes</w:t>
      </w:r>
      <w:r>
        <w:rPr>
          <w:spacing w:val="-1"/>
        </w:rPr>
        <w:t> </w:t>
      </w:r>
      <w:r>
        <w:rPr/>
        <w:t>ao</w:t>
      </w:r>
      <w:r>
        <w:rPr>
          <w:spacing w:val="-1"/>
        </w:rPr>
        <w:t> </w:t>
      </w:r>
      <w:r>
        <w:rPr/>
        <w:t>mês</w:t>
      </w:r>
      <w:r>
        <w:rPr>
          <w:spacing w:val="-1"/>
        </w:rPr>
        <w:t> </w:t>
      </w:r>
      <w:r>
        <w:rPr>
          <w:spacing w:val="-5"/>
        </w:rPr>
        <w:t>de</w:t>
      </w:r>
    </w:p>
    <w:p>
      <w:pPr>
        <w:pStyle w:val="BodyText"/>
        <w:spacing w:line="274" w:lineRule="exact"/>
      </w:pPr>
      <w:r>
        <w:rPr/>
        <w:t>março</w:t>
      </w:r>
      <w:r>
        <w:rPr>
          <w:spacing w:val="-6"/>
        </w:rPr>
        <w:t> </w:t>
      </w:r>
      <w:r>
        <w:rPr/>
        <w:t>/</w:t>
      </w:r>
      <w:r>
        <w:rPr>
          <w:spacing w:val="-6"/>
        </w:rPr>
        <w:t> </w:t>
      </w:r>
      <w:r>
        <w:rPr>
          <w:spacing w:val="-2"/>
        </w:rPr>
        <w:t>2026.</w:t>
      </w:r>
    </w:p>
    <w:p>
      <w:pPr>
        <w:pStyle w:val="BodyText"/>
        <w:spacing w:before="235"/>
        <w:ind w:left="0"/>
      </w:pPr>
    </w:p>
    <w:p>
      <w:pPr>
        <w:pStyle w:val="Heading2"/>
        <w:numPr>
          <w:ilvl w:val="1"/>
          <w:numId w:val="1"/>
        </w:numPr>
        <w:tabs>
          <w:tab w:pos="599" w:val="left" w:leader="none"/>
        </w:tabs>
        <w:spacing w:line="240" w:lineRule="auto" w:before="0" w:after="0"/>
        <w:ind w:left="599" w:right="0" w:hanging="357"/>
        <w:jc w:val="left"/>
      </w:pPr>
      <w:r>
        <w:rPr/>
        <w:t>-</w:t>
      </w:r>
      <w:r>
        <w:rPr>
          <w:spacing w:val="-6"/>
        </w:rPr>
        <w:t> </w:t>
      </w:r>
      <w:r>
        <w:rPr/>
        <w:t>Juros</w:t>
      </w:r>
      <w:r>
        <w:rPr>
          <w:spacing w:val="-6"/>
        </w:rPr>
        <w:t> </w:t>
      </w:r>
      <w:r>
        <w:rPr/>
        <w:t>e</w:t>
      </w:r>
      <w:r>
        <w:rPr>
          <w:spacing w:val="-5"/>
        </w:rPr>
        <w:t> </w:t>
      </w:r>
      <w:r>
        <w:rPr/>
        <w:t>Multas</w:t>
      </w:r>
      <w:r>
        <w:rPr>
          <w:spacing w:val="-6"/>
        </w:rPr>
        <w:t> </w:t>
      </w:r>
      <w:r>
        <w:rPr/>
        <w:t>–</w:t>
      </w:r>
      <w:r>
        <w:rPr>
          <w:spacing w:val="-5"/>
        </w:rPr>
        <w:t> </w:t>
      </w:r>
      <w:r>
        <w:rPr/>
        <w:t>março</w:t>
      </w:r>
      <w:r>
        <w:rPr>
          <w:spacing w:val="-6"/>
        </w:rPr>
        <w:t> </w:t>
      </w:r>
      <w:r>
        <w:rPr/>
        <w:t>/</w:t>
      </w:r>
      <w:r>
        <w:rPr>
          <w:spacing w:val="-6"/>
        </w:rPr>
        <w:t> </w:t>
      </w:r>
      <w:r>
        <w:rPr>
          <w:spacing w:val="-4"/>
        </w:rPr>
        <w:t>2026</w:t>
      </w:r>
    </w:p>
    <w:p>
      <w:pPr>
        <w:pStyle w:val="BodyText"/>
        <w:spacing w:before="117"/>
        <w:ind w:right="245" w:firstLine="1406"/>
      </w:pPr>
      <w:r>
        <w:rPr/>
        <w:t>O Conselho recebeu o relatório contendo o</w:t>
      </w:r>
      <w:r>
        <w:rPr>
          <w:spacing w:val="-11"/>
        </w:rPr>
        <w:t> </w:t>
      </w:r>
      <w:r>
        <w:rPr/>
        <w:t>acompanhamento da apuração de juros e multas do mês de março / 2026.</w:t>
      </w:r>
    </w:p>
    <w:p>
      <w:pPr>
        <w:pStyle w:val="BodyText"/>
        <w:spacing w:before="233"/>
        <w:ind w:left="0"/>
      </w:pPr>
    </w:p>
    <w:p>
      <w:pPr>
        <w:pStyle w:val="Heading2"/>
        <w:numPr>
          <w:ilvl w:val="1"/>
          <w:numId w:val="1"/>
        </w:numPr>
        <w:tabs>
          <w:tab w:pos="599" w:val="left" w:leader="none"/>
        </w:tabs>
        <w:spacing w:line="240" w:lineRule="auto" w:before="0" w:after="0"/>
        <w:ind w:left="599" w:right="0" w:hanging="357"/>
        <w:jc w:val="left"/>
      </w:pPr>
      <w:r>
        <w:rPr/>
        <w:t>-</w:t>
      </w:r>
      <w:r>
        <w:rPr>
          <w:spacing w:val="-13"/>
        </w:rPr>
        <w:t> </w:t>
      </w:r>
      <w:r>
        <w:rPr/>
        <w:t>Demonstrativo</w:t>
      </w:r>
      <w:r>
        <w:rPr>
          <w:spacing w:val="-12"/>
        </w:rPr>
        <w:t> </w:t>
      </w:r>
      <w:r>
        <w:rPr/>
        <w:t>de</w:t>
      </w:r>
      <w:r>
        <w:rPr>
          <w:spacing w:val="-12"/>
        </w:rPr>
        <w:t> </w:t>
      </w:r>
      <w:r>
        <w:rPr/>
        <w:t>rendimento</w:t>
      </w:r>
      <w:r>
        <w:rPr>
          <w:spacing w:val="-12"/>
        </w:rPr>
        <w:t> </w:t>
      </w:r>
      <w:r>
        <w:rPr/>
        <w:t>das</w:t>
      </w:r>
      <w:r>
        <w:rPr>
          <w:spacing w:val="-12"/>
        </w:rPr>
        <w:t> </w:t>
      </w:r>
      <w:r>
        <w:rPr/>
        <w:t>aplicações</w:t>
      </w:r>
      <w:r>
        <w:rPr>
          <w:spacing w:val="-12"/>
        </w:rPr>
        <w:t> </w:t>
      </w:r>
      <w:r>
        <w:rPr/>
        <w:t>financeiras</w:t>
      </w:r>
      <w:r>
        <w:rPr>
          <w:spacing w:val="-12"/>
        </w:rPr>
        <w:t> </w:t>
      </w:r>
      <w:r>
        <w:rPr/>
        <w:t>–</w:t>
      </w:r>
      <w:r>
        <w:rPr>
          <w:spacing w:val="-13"/>
        </w:rPr>
        <w:t> </w:t>
      </w:r>
      <w:r>
        <w:rPr/>
        <w:t>abril/</w:t>
      </w:r>
      <w:r>
        <w:rPr>
          <w:spacing w:val="-12"/>
        </w:rPr>
        <w:t> </w:t>
      </w:r>
      <w:r>
        <w:rPr>
          <w:spacing w:val="-4"/>
        </w:rPr>
        <w:t>2026</w:t>
      </w:r>
    </w:p>
    <w:p>
      <w:pPr>
        <w:pStyle w:val="BodyText"/>
        <w:spacing w:before="118"/>
        <w:ind w:left="1649"/>
      </w:pPr>
      <w:r>
        <w:rPr/>
        <w:t>O</w:t>
      </w:r>
      <w:r>
        <w:rPr>
          <w:spacing w:val="32"/>
        </w:rPr>
        <w:t> </w:t>
      </w:r>
      <w:r>
        <w:rPr/>
        <w:t>Conselho</w:t>
      </w:r>
      <w:r>
        <w:rPr>
          <w:spacing w:val="32"/>
        </w:rPr>
        <w:t> </w:t>
      </w:r>
      <w:r>
        <w:rPr/>
        <w:t>recebeu</w:t>
      </w:r>
      <w:r>
        <w:rPr>
          <w:spacing w:val="32"/>
        </w:rPr>
        <w:t> </w:t>
      </w:r>
      <w:r>
        <w:rPr/>
        <w:t>o</w:t>
      </w:r>
      <w:r>
        <w:rPr>
          <w:spacing w:val="32"/>
        </w:rPr>
        <w:t> </w:t>
      </w:r>
      <w:r>
        <w:rPr/>
        <w:t>Demonstrativo</w:t>
      </w:r>
      <w:r>
        <w:rPr>
          <w:spacing w:val="32"/>
        </w:rPr>
        <w:t> </w:t>
      </w:r>
      <w:r>
        <w:rPr/>
        <w:t>de</w:t>
      </w:r>
      <w:r>
        <w:rPr>
          <w:spacing w:val="32"/>
        </w:rPr>
        <w:t> </w:t>
      </w:r>
      <w:r>
        <w:rPr/>
        <w:t>rendimento</w:t>
      </w:r>
      <w:r>
        <w:rPr>
          <w:spacing w:val="32"/>
        </w:rPr>
        <w:t> </w:t>
      </w:r>
      <w:r>
        <w:rPr/>
        <w:t>das</w:t>
      </w:r>
      <w:r>
        <w:rPr>
          <w:spacing w:val="32"/>
        </w:rPr>
        <w:t> </w:t>
      </w:r>
      <w:r>
        <w:rPr/>
        <w:t>aplicações</w:t>
      </w:r>
      <w:r>
        <w:rPr>
          <w:spacing w:val="32"/>
        </w:rPr>
        <w:t> </w:t>
      </w:r>
      <w:r>
        <w:rPr/>
        <w:t>financeiras</w:t>
      </w:r>
      <w:r>
        <w:rPr>
          <w:spacing w:val="32"/>
        </w:rPr>
        <w:t> </w:t>
      </w:r>
      <w:r>
        <w:rPr/>
        <w:t>–</w:t>
      </w:r>
      <w:r>
        <w:rPr>
          <w:spacing w:val="32"/>
        </w:rPr>
        <w:t> </w:t>
      </w:r>
      <w:r>
        <w:rPr/>
        <w:t>abril</w:t>
      </w:r>
      <w:r>
        <w:rPr>
          <w:spacing w:val="32"/>
        </w:rPr>
        <w:t> </w:t>
      </w:r>
      <w:r>
        <w:rPr>
          <w:spacing w:val="-10"/>
        </w:rPr>
        <w:t>/</w:t>
      </w:r>
    </w:p>
    <w:p>
      <w:pPr>
        <w:pStyle w:val="BodyText"/>
        <w:spacing w:line="274" w:lineRule="exact"/>
      </w:pPr>
      <w:r>
        <w:rPr>
          <w:spacing w:val="-2"/>
        </w:rPr>
        <w:t>2026.</w:t>
      </w:r>
    </w:p>
    <w:p>
      <w:pPr>
        <w:pStyle w:val="BodyText"/>
        <w:spacing w:before="235"/>
        <w:ind w:left="0"/>
      </w:pPr>
    </w:p>
    <w:p>
      <w:pPr>
        <w:pStyle w:val="Heading2"/>
        <w:numPr>
          <w:ilvl w:val="1"/>
          <w:numId w:val="1"/>
        </w:numPr>
        <w:tabs>
          <w:tab w:pos="599" w:val="left" w:leader="none"/>
        </w:tabs>
        <w:spacing w:line="240" w:lineRule="auto" w:before="0" w:after="0"/>
        <w:ind w:left="599" w:right="0" w:hanging="357"/>
        <w:jc w:val="left"/>
      </w:pPr>
      <w:r>
        <w:rPr/>
        <w:t>-</w:t>
      </w:r>
      <w:r>
        <w:rPr>
          <w:spacing w:val="-9"/>
        </w:rPr>
        <w:t> </w:t>
      </w:r>
      <w:r>
        <w:rPr/>
        <w:t>Certidões</w:t>
      </w:r>
      <w:r>
        <w:rPr>
          <w:spacing w:val="-8"/>
        </w:rPr>
        <w:t> </w:t>
      </w:r>
      <w:r>
        <w:rPr/>
        <w:t>de</w:t>
      </w:r>
      <w:r>
        <w:rPr>
          <w:spacing w:val="-9"/>
        </w:rPr>
        <w:t> </w:t>
      </w:r>
      <w:r>
        <w:rPr/>
        <w:t>Regularidade</w:t>
      </w:r>
      <w:r>
        <w:rPr>
          <w:spacing w:val="-8"/>
        </w:rPr>
        <w:t> </w:t>
      </w:r>
      <w:r>
        <w:rPr/>
        <w:t>-</w:t>
      </w:r>
      <w:r>
        <w:rPr>
          <w:spacing w:val="-8"/>
        </w:rPr>
        <w:t> </w:t>
      </w:r>
      <w:r>
        <w:rPr/>
        <w:t>maio</w:t>
      </w:r>
      <w:r>
        <w:rPr>
          <w:spacing w:val="-9"/>
        </w:rPr>
        <w:t> </w:t>
      </w:r>
      <w:r>
        <w:rPr/>
        <w:t>/</w:t>
      </w:r>
      <w:r>
        <w:rPr>
          <w:spacing w:val="-8"/>
        </w:rPr>
        <w:t> </w:t>
      </w:r>
      <w:r>
        <w:rPr>
          <w:spacing w:val="-4"/>
        </w:rPr>
        <w:t>2026</w:t>
      </w:r>
    </w:p>
    <w:p>
      <w:pPr>
        <w:pStyle w:val="BodyText"/>
        <w:spacing w:before="117"/>
        <w:ind w:right="245" w:firstLine="1406"/>
      </w:pPr>
      <w:r>
        <w:rPr/>
        <w:t>O Conselho recebeu as certidões municipais, estaduais e federais solicitadas, expedidas no mês de maio/2026.</w:t>
      </w:r>
    </w:p>
    <w:p>
      <w:pPr>
        <w:pStyle w:val="BodyText"/>
        <w:spacing w:before="233"/>
        <w:ind w:left="0"/>
      </w:pPr>
    </w:p>
    <w:p>
      <w:pPr>
        <w:pStyle w:val="Heading2"/>
        <w:numPr>
          <w:ilvl w:val="1"/>
          <w:numId w:val="1"/>
        </w:numPr>
        <w:tabs>
          <w:tab w:pos="599" w:val="left" w:leader="none"/>
        </w:tabs>
        <w:spacing w:line="240" w:lineRule="auto" w:before="0" w:after="0"/>
        <w:ind w:left="599" w:right="0" w:hanging="357"/>
        <w:jc w:val="left"/>
      </w:pPr>
      <w:r>
        <w:rPr/>
        <w:t>-</w:t>
      </w:r>
      <w:r>
        <w:rPr>
          <w:spacing w:val="-9"/>
        </w:rPr>
        <w:t> </w:t>
      </w:r>
      <w:r>
        <w:rPr/>
        <w:t>Relatório</w:t>
      </w:r>
      <w:r>
        <w:rPr>
          <w:spacing w:val="-8"/>
        </w:rPr>
        <w:t> </w:t>
      </w:r>
      <w:r>
        <w:rPr/>
        <w:t>Gerencial</w:t>
      </w:r>
      <w:r>
        <w:rPr>
          <w:spacing w:val="-8"/>
        </w:rPr>
        <w:t> </w:t>
      </w:r>
      <w:r>
        <w:rPr/>
        <w:t>–</w:t>
      </w:r>
      <w:r>
        <w:rPr>
          <w:spacing w:val="-8"/>
        </w:rPr>
        <w:t> </w:t>
      </w:r>
      <w:r>
        <w:rPr/>
        <w:t>abril</w:t>
      </w:r>
      <w:r>
        <w:rPr>
          <w:spacing w:val="-8"/>
        </w:rPr>
        <w:t> </w:t>
      </w:r>
      <w:r>
        <w:rPr/>
        <w:t>/</w:t>
      </w:r>
      <w:r>
        <w:rPr>
          <w:spacing w:val="-9"/>
        </w:rPr>
        <w:t> </w:t>
      </w:r>
      <w:r>
        <w:rPr>
          <w:spacing w:val="-4"/>
        </w:rPr>
        <w:t>2026</w:t>
      </w:r>
    </w:p>
    <w:p>
      <w:pPr>
        <w:pStyle w:val="BodyText"/>
        <w:spacing w:before="118"/>
        <w:ind w:left="1649"/>
      </w:pPr>
      <w:r>
        <w:rPr/>
        <w:t>O</w:t>
      </w:r>
      <w:r>
        <w:rPr>
          <w:spacing w:val="-10"/>
        </w:rPr>
        <w:t> </w:t>
      </w:r>
      <w:r>
        <w:rPr/>
        <w:t>Conselho</w:t>
      </w:r>
      <w:r>
        <w:rPr>
          <w:spacing w:val="-10"/>
        </w:rPr>
        <w:t> </w:t>
      </w:r>
      <w:r>
        <w:rPr/>
        <w:t>tomou</w:t>
      </w:r>
      <w:r>
        <w:rPr>
          <w:spacing w:val="-10"/>
        </w:rPr>
        <w:t> </w:t>
      </w:r>
      <w:r>
        <w:rPr/>
        <w:t>conhecimento</w:t>
      </w:r>
      <w:r>
        <w:rPr>
          <w:spacing w:val="-10"/>
        </w:rPr>
        <w:t> </w:t>
      </w:r>
      <w:r>
        <w:rPr/>
        <w:t>do</w:t>
      </w:r>
      <w:r>
        <w:rPr>
          <w:spacing w:val="-10"/>
        </w:rPr>
        <w:t> </w:t>
      </w:r>
      <w:r>
        <w:rPr/>
        <w:t>Relatório</w:t>
      </w:r>
      <w:r>
        <w:rPr>
          <w:spacing w:val="-10"/>
        </w:rPr>
        <w:t> </w:t>
      </w:r>
      <w:r>
        <w:rPr/>
        <w:t>Gerencial,</w:t>
      </w:r>
      <w:r>
        <w:rPr>
          <w:spacing w:val="-10"/>
        </w:rPr>
        <w:t> </w:t>
      </w:r>
      <w:r>
        <w:rPr/>
        <w:t>referente</w:t>
      </w:r>
      <w:r>
        <w:rPr>
          <w:spacing w:val="-10"/>
        </w:rPr>
        <w:t> </w:t>
      </w:r>
      <w:r>
        <w:rPr/>
        <w:t>ao</w:t>
      </w:r>
      <w:r>
        <w:rPr>
          <w:spacing w:val="-10"/>
        </w:rPr>
        <w:t> </w:t>
      </w:r>
      <w:r>
        <w:rPr/>
        <w:t>mês</w:t>
      </w:r>
      <w:r>
        <w:rPr>
          <w:spacing w:val="-10"/>
        </w:rPr>
        <w:t> </w:t>
      </w:r>
      <w:r>
        <w:rPr/>
        <w:t>de</w:t>
      </w:r>
      <w:r>
        <w:rPr>
          <w:spacing w:val="-10"/>
        </w:rPr>
        <w:t> </w:t>
      </w:r>
      <w:r>
        <w:rPr/>
        <w:t>abril</w:t>
      </w:r>
      <w:r>
        <w:rPr>
          <w:spacing w:val="-10"/>
        </w:rPr>
        <w:t> </w:t>
      </w:r>
      <w:r>
        <w:rPr/>
        <w:t>de</w:t>
      </w:r>
      <w:r>
        <w:rPr>
          <w:spacing w:val="-10"/>
        </w:rPr>
        <w:t> </w:t>
      </w:r>
      <w:r>
        <w:rPr>
          <w:spacing w:val="-2"/>
        </w:rPr>
        <w:t>2026.</w:t>
      </w:r>
    </w:p>
    <w:p>
      <w:pPr>
        <w:pStyle w:val="BodyText"/>
        <w:spacing w:before="235"/>
        <w:ind w:left="0"/>
      </w:pPr>
    </w:p>
    <w:p>
      <w:pPr>
        <w:pStyle w:val="Heading2"/>
        <w:numPr>
          <w:ilvl w:val="1"/>
          <w:numId w:val="1"/>
        </w:numPr>
        <w:tabs>
          <w:tab w:pos="617" w:val="left" w:leader="none"/>
        </w:tabs>
        <w:spacing w:line="240" w:lineRule="auto" w:before="0" w:after="0"/>
        <w:ind w:left="242" w:right="244" w:firstLine="0"/>
        <w:jc w:val="left"/>
      </w:pPr>
      <w:r>
        <w:rPr/>
        <w:t>- Atas da 2543ª a 2544ª Reuniões Ordinárias e 97ª e 98ª Reuniões Extraordinárias da DIREXE, realizadas em abril e maio/2026</w:t>
      </w:r>
    </w:p>
    <w:p>
      <w:pPr>
        <w:pStyle w:val="BodyText"/>
        <w:spacing w:before="116"/>
        <w:ind w:firstLine="1406"/>
      </w:pPr>
      <w:r>
        <w:rPr/>
        <w:t>Os</w:t>
      </w:r>
      <w:r>
        <w:rPr>
          <w:spacing w:val="40"/>
        </w:rPr>
        <w:t> </w:t>
      </w:r>
      <w:r>
        <w:rPr/>
        <w:t>Conselheiros</w:t>
      </w:r>
      <w:r>
        <w:rPr>
          <w:spacing w:val="40"/>
        </w:rPr>
        <w:t> </w:t>
      </w:r>
      <w:r>
        <w:rPr/>
        <w:t>analisaram</w:t>
      </w:r>
      <w:r>
        <w:rPr>
          <w:spacing w:val="40"/>
        </w:rPr>
        <w:t> </w:t>
      </w:r>
      <w:r>
        <w:rPr/>
        <w:t>as</w:t>
      </w:r>
      <w:r>
        <w:rPr>
          <w:spacing w:val="40"/>
        </w:rPr>
        <w:t> </w:t>
      </w:r>
      <w:r>
        <w:rPr/>
        <w:t>atas</w:t>
      </w:r>
      <w:r>
        <w:rPr>
          <w:spacing w:val="40"/>
        </w:rPr>
        <w:t> </w:t>
      </w:r>
      <w:r>
        <w:rPr/>
        <w:t>das</w:t>
      </w:r>
      <w:r>
        <w:rPr>
          <w:spacing w:val="40"/>
        </w:rPr>
        <w:t> </w:t>
      </w:r>
      <w:r>
        <w:rPr/>
        <w:t>2543ª</w:t>
      </w:r>
      <w:r>
        <w:rPr>
          <w:spacing w:val="40"/>
        </w:rPr>
        <w:t> </w:t>
      </w:r>
      <w:r>
        <w:rPr/>
        <w:t>a</w:t>
      </w:r>
      <w:r>
        <w:rPr>
          <w:spacing w:val="40"/>
        </w:rPr>
        <w:t> </w:t>
      </w:r>
      <w:r>
        <w:rPr/>
        <w:t>2544ª</w:t>
      </w:r>
      <w:r>
        <w:rPr>
          <w:spacing w:val="40"/>
        </w:rPr>
        <w:t> </w:t>
      </w:r>
      <w:r>
        <w:rPr/>
        <w:t>Reuniões</w:t>
      </w:r>
      <w:r>
        <w:rPr>
          <w:spacing w:val="40"/>
        </w:rPr>
        <w:t> </w:t>
      </w:r>
      <w:r>
        <w:rPr/>
        <w:t>Ordinárias</w:t>
      </w:r>
      <w:r>
        <w:rPr>
          <w:spacing w:val="40"/>
        </w:rPr>
        <w:t> </w:t>
      </w:r>
      <w:r>
        <w:rPr/>
        <w:t>e</w:t>
      </w:r>
      <w:r>
        <w:rPr>
          <w:spacing w:val="40"/>
        </w:rPr>
        <w:t> </w:t>
      </w:r>
      <w:r>
        <w:rPr/>
        <w:t>97ª</w:t>
      </w:r>
      <w:r>
        <w:rPr>
          <w:spacing w:val="40"/>
        </w:rPr>
        <w:t> </w:t>
      </w:r>
      <w:r>
        <w:rPr/>
        <w:t>e</w:t>
      </w:r>
      <w:r>
        <w:rPr>
          <w:spacing w:val="40"/>
        </w:rPr>
        <w:t> </w:t>
      </w:r>
      <w:r>
        <w:rPr/>
        <w:t>98ª Reuniões Extraordinárias da DIREXE, realizadas em abril e maio/2026.</w:t>
      </w:r>
    </w:p>
    <w:p>
      <w:pPr>
        <w:pStyle w:val="BodyText"/>
        <w:spacing w:before="115"/>
        <w:ind w:right="245" w:firstLine="1406"/>
      </w:pPr>
      <w:r>
        <w:rPr/>
        <w:t>Na análise da</w:t>
      </w:r>
      <w:r>
        <w:rPr>
          <w:spacing w:val="-5"/>
        </w:rPr>
        <w:t> </w:t>
      </w:r>
      <w:r>
        <w:rPr/>
        <w:t>Ata 2543ª, Decisão nº 56/2026, que trata de Reconhecimento de Dívida, para quitação</w:t>
      </w:r>
      <w:r>
        <w:rPr>
          <w:spacing w:val="40"/>
        </w:rPr>
        <w:t> </w:t>
      </w:r>
      <w:r>
        <w:rPr/>
        <w:t>junto</w:t>
      </w:r>
      <w:r>
        <w:rPr>
          <w:spacing w:val="40"/>
        </w:rPr>
        <w:t> </w:t>
      </w:r>
      <w:r>
        <w:rPr/>
        <w:t>à</w:t>
      </w:r>
      <w:r>
        <w:rPr>
          <w:spacing w:val="40"/>
        </w:rPr>
        <w:t> </w:t>
      </w:r>
      <w:r>
        <w:rPr/>
        <w:t>empresa</w:t>
      </w:r>
      <w:r>
        <w:rPr>
          <w:spacing w:val="40"/>
        </w:rPr>
        <w:t> </w:t>
      </w:r>
      <w:r>
        <w:rPr/>
        <w:t>SERVAL</w:t>
      </w:r>
      <w:r>
        <w:rPr>
          <w:spacing w:val="35"/>
        </w:rPr>
        <w:t> </w:t>
      </w:r>
      <w:r>
        <w:rPr/>
        <w:t>SERVIÇOS</w:t>
      </w:r>
      <w:r>
        <w:rPr>
          <w:spacing w:val="40"/>
        </w:rPr>
        <w:t> </w:t>
      </w:r>
      <w:r>
        <w:rPr/>
        <w:t>E</w:t>
      </w:r>
      <w:r>
        <w:rPr>
          <w:spacing w:val="40"/>
        </w:rPr>
        <w:t> </w:t>
      </w:r>
      <w:r>
        <w:rPr/>
        <w:t>LIMPEZA</w:t>
      </w:r>
      <w:r>
        <w:rPr>
          <w:spacing w:val="35"/>
        </w:rPr>
        <w:t> </w:t>
      </w:r>
      <w:r>
        <w:rPr/>
        <w:t>LTDA,</w:t>
      </w:r>
      <w:r>
        <w:rPr>
          <w:spacing w:val="40"/>
        </w:rPr>
        <w:t> </w:t>
      </w:r>
      <w:r>
        <w:rPr/>
        <w:t>correspondente</w:t>
      </w:r>
      <w:r>
        <w:rPr>
          <w:spacing w:val="40"/>
        </w:rPr>
        <w:t> </w:t>
      </w:r>
      <w:r>
        <w:rPr/>
        <w:t>a</w:t>
      </w:r>
      <w:r>
        <w:rPr>
          <w:spacing w:val="40"/>
        </w:rPr>
        <w:t> </w:t>
      </w:r>
      <w:r>
        <w:rPr/>
        <w:t>efetivação</w:t>
      </w:r>
      <w:r>
        <w:rPr>
          <w:spacing w:val="40"/>
        </w:rPr>
        <w:t> </w:t>
      </w:r>
      <w:r>
        <w:rPr/>
        <w:t>do pagamento</w:t>
      </w:r>
      <w:r>
        <w:rPr>
          <w:spacing w:val="-7"/>
        </w:rPr>
        <w:t> </w:t>
      </w:r>
      <w:r>
        <w:rPr/>
        <w:t>relativo</w:t>
      </w:r>
      <w:r>
        <w:rPr>
          <w:spacing w:val="-7"/>
        </w:rPr>
        <w:t> </w:t>
      </w:r>
      <w:r>
        <w:rPr/>
        <w:t>à</w:t>
      </w:r>
      <w:r>
        <w:rPr>
          <w:spacing w:val="-7"/>
        </w:rPr>
        <w:t> </w:t>
      </w:r>
      <w:r>
        <w:rPr/>
        <w:t>repactuação</w:t>
      </w:r>
      <w:r>
        <w:rPr>
          <w:spacing w:val="-7"/>
        </w:rPr>
        <w:t> </w:t>
      </w:r>
      <w:r>
        <w:rPr/>
        <w:t>do</w:t>
      </w:r>
      <w:r>
        <w:rPr>
          <w:spacing w:val="-7"/>
        </w:rPr>
        <w:t> </w:t>
      </w:r>
      <w:r>
        <w:rPr/>
        <w:t>Contrato</w:t>
      </w:r>
      <w:r>
        <w:rPr>
          <w:spacing w:val="-7"/>
        </w:rPr>
        <w:t> </w:t>
      </w:r>
      <w:r>
        <w:rPr/>
        <w:t>nº</w:t>
      </w:r>
      <w:r>
        <w:rPr>
          <w:spacing w:val="-7"/>
        </w:rPr>
        <w:t> </w:t>
      </w:r>
      <w:r>
        <w:rPr/>
        <w:t>031/2025,</w:t>
      </w:r>
      <w:r>
        <w:rPr>
          <w:spacing w:val="-7"/>
        </w:rPr>
        <w:t> </w:t>
      </w:r>
      <w:r>
        <w:rPr/>
        <w:t>cujo</w:t>
      </w:r>
      <w:r>
        <w:rPr>
          <w:spacing w:val="-7"/>
        </w:rPr>
        <w:t> </w:t>
      </w:r>
      <w:r>
        <w:rPr/>
        <w:t>objeto</w:t>
      </w:r>
      <w:r>
        <w:rPr>
          <w:spacing w:val="-7"/>
        </w:rPr>
        <w:t> </w:t>
      </w:r>
      <w:r>
        <w:rPr/>
        <w:t>consiste</w:t>
      </w:r>
      <w:r>
        <w:rPr>
          <w:spacing w:val="-7"/>
        </w:rPr>
        <w:t> </w:t>
      </w:r>
      <w:r>
        <w:rPr/>
        <w:t>na</w:t>
      </w:r>
      <w:r>
        <w:rPr>
          <w:spacing w:val="-7"/>
        </w:rPr>
        <w:t> </w:t>
      </w:r>
      <w:r>
        <w:rPr/>
        <w:t>prestação</w:t>
      </w:r>
      <w:r>
        <w:rPr>
          <w:spacing w:val="-7"/>
        </w:rPr>
        <w:t> </w:t>
      </w:r>
      <w:r>
        <w:rPr/>
        <w:t>de</w:t>
      </w:r>
      <w:r>
        <w:rPr>
          <w:spacing w:val="-7"/>
        </w:rPr>
        <w:t> </w:t>
      </w:r>
      <w:r>
        <w:rPr/>
        <w:t>serviços</w:t>
      </w:r>
      <w:r>
        <w:rPr>
          <w:spacing w:val="-7"/>
        </w:rPr>
        <w:t> </w:t>
      </w:r>
      <w:r>
        <w:rPr/>
        <w:t>de controlador</w:t>
      </w:r>
      <w:r>
        <w:rPr>
          <w:spacing w:val="80"/>
        </w:rPr>
        <w:t> </w:t>
      </w:r>
      <w:r>
        <w:rPr/>
        <w:t>de</w:t>
      </w:r>
      <w:r>
        <w:rPr>
          <w:spacing w:val="80"/>
        </w:rPr>
        <w:t> </w:t>
      </w:r>
      <w:r>
        <w:rPr/>
        <w:t>acesso,</w:t>
      </w:r>
      <w:r>
        <w:rPr>
          <w:spacing w:val="80"/>
        </w:rPr>
        <w:t> </w:t>
      </w:r>
      <w:r>
        <w:rPr/>
        <w:t>com</w:t>
      </w:r>
      <w:r>
        <w:rPr>
          <w:spacing w:val="80"/>
        </w:rPr>
        <w:t> </w:t>
      </w:r>
      <w:r>
        <w:rPr/>
        <w:t>dedicação</w:t>
      </w:r>
      <w:r>
        <w:rPr>
          <w:spacing w:val="80"/>
        </w:rPr>
        <w:t> </w:t>
      </w:r>
      <w:r>
        <w:rPr/>
        <w:t>exclusiva</w:t>
      </w:r>
      <w:r>
        <w:rPr>
          <w:spacing w:val="80"/>
        </w:rPr>
        <w:t> </w:t>
      </w:r>
      <w:r>
        <w:rPr/>
        <w:t>de</w:t>
      </w:r>
      <w:r>
        <w:rPr>
          <w:spacing w:val="80"/>
        </w:rPr>
        <w:t> </w:t>
      </w:r>
      <w:r>
        <w:rPr/>
        <w:t>mão</w:t>
      </w:r>
      <w:r>
        <w:rPr>
          <w:spacing w:val="80"/>
        </w:rPr>
        <w:t> </w:t>
      </w:r>
      <w:r>
        <w:rPr/>
        <w:t>de</w:t>
      </w:r>
      <w:r>
        <w:rPr>
          <w:spacing w:val="80"/>
        </w:rPr>
        <w:t> </w:t>
      </w:r>
      <w:r>
        <w:rPr/>
        <w:t>obra,</w:t>
      </w:r>
      <w:r>
        <w:rPr>
          <w:spacing w:val="80"/>
        </w:rPr>
        <w:t> </w:t>
      </w:r>
      <w:r>
        <w:rPr/>
        <w:t>destinados</w:t>
      </w:r>
      <w:r>
        <w:rPr>
          <w:spacing w:val="80"/>
        </w:rPr>
        <w:t> </w:t>
      </w:r>
      <w:r>
        <w:rPr/>
        <w:t>ao</w:t>
      </w:r>
      <w:r>
        <w:rPr>
          <w:spacing w:val="80"/>
        </w:rPr>
        <w:t> </w:t>
      </w:r>
      <w:r>
        <w:rPr/>
        <w:t>atendimento</w:t>
      </w:r>
      <w:r>
        <w:rPr>
          <w:spacing w:val="80"/>
        </w:rPr>
        <w:t> </w:t>
      </w:r>
      <w:r>
        <w:rPr/>
        <w:t>das necessidades operacionais do Porto de Fortaleza, em caráter emergencial, no valor de R$ 6.850,78, bem</w:t>
      </w:r>
      <w:r>
        <w:rPr>
          <w:spacing w:val="80"/>
        </w:rPr>
        <w:t> </w:t>
      </w:r>
      <w:r>
        <w:rPr/>
        <w:t>como</w:t>
      </w:r>
      <w:r>
        <w:rPr>
          <w:spacing w:val="-3"/>
        </w:rPr>
        <w:t> </w:t>
      </w:r>
      <w:r>
        <w:rPr/>
        <w:t>na</w:t>
      </w:r>
      <w:r>
        <w:rPr>
          <w:spacing w:val="-14"/>
        </w:rPr>
        <w:t> </w:t>
      </w:r>
      <w:r>
        <w:rPr/>
        <w:t>Ata</w:t>
      </w:r>
      <w:r>
        <w:rPr>
          <w:spacing w:val="-3"/>
        </w:rPr>
        <w:t> </w:t>
      </w:r>
      <w:r>
        <w:rPr/>
        <w:t>97ª,</w:t>
      </w:r>
      <w:r>
        <w:rPr>
          <w:spacing w:val="-3"/>
        </w:rPr>
        <w:t> </w:t>
      </w:r>
      <w:r>
        <w:rPr/>
        <w:t>Decisão</w:t>
      </w:r>
      <w:r>
        <w:rPr>
          <w:spacing w:val="-3"/>
        </w:rPr>
        <w:t> </w:t>
      </w:r>
      <w:r>
        <w:rPr/>
        <w:t>73/2026,</w:t>
      </w:r>
      <w:r>
        <w:rPr>
          <w:spacing w:val="-3"/>
        </w:rPr>
        <w:t> </w:t>
      </w:r>
      <w:r>
        <w:rPr/>
        <w:t>que</w:t>
      </w:r>
      <w:r>
        <w:rPr>
          <w:spacing w:val="-3"/>
        </w:rPr>
        <w:t> </w:t>
      </w:r>
      <w:r>
        <w:rPr/>
        <w:t>trata</w:t>
      </w:r>
      <w:r>
        <w:rPr>
          <w:spacing w:val="-3"/>
        </w:rPr>
        <w:t> </w:t>
      </w:r>
      <w:r>
        <w:rPr/>
        <w:t>da</w:t>
      </w:r>
      <w:r>
        <w:rPr>
          <w:spacing w:val="-3"/>
        </w:rPr>
        <w:t> </w:t>
      </w:r>
      <w:r>
        <w:rPr/>
        <w:t>contratação</w:t>
      </w:r>
      <w:r>
        <w:rPr>
          <w:spacing w:val="-3"/>
        </w:rPr>
        <w:t> </w:t>
      </w:r>
      <w:r>
        <w:rPr/>
        <w:t>emergencial</w:t>
      </w:r>
      <w:r>
        <w:rPr>
          <w:spacing w:val="-3"/>
        </w:rPr>
        <w:t> </w:t>
      </w:r>
      <w:r>
        <w:rPr/>
        <w:t>da</w:t>
      </w:r>
      <w:r>
        <w:rPr>
          <w:spacing w:val="-3"/>
        </w:rPr>
        <w:t> </w:t>
      </w:r>
      <w:r>
        <w:rPr/>
        <w:t>Empresa</w:t>
      </w:r>
      <w:r>
        <w:rPr>
          <w:spacing w:val="-3"/>
        </w:rPr>
        <w:t> </w:t>
      </w:r>
      <w:r>
        <w:rPr/>
        <w:t>Braslimp</w:t>
      </w:r>
      <w:r>
        <w:rPr>
          <w:spacing w:val="-3"/>
        </w:rPr>
        <w:t> </w:t>
      </w:r>
      <w:r>
        <w:rPr/>
        <w:t>Transportes Especializados Ltda, visando a Prestação de serviço de coleta, transporte, tratamento e destinação final de resíduos para a Companhia Docas do Ceará, pelo valor de R$ 59.911,59, o Conselho reitera o registro de sua preocupação com as recorrentes contratações emergenciais e reconhecimentos de dívida, em especial no âmbito de</w:t>
      </w:r>
      <w:r>
        <w:rPr>
          <w:spacing w:val="1"/>
        </w:rPr>
        <w:t> </w:t>
      </w:r>
      <w:r>
        <w:rPr/>
        <w:t>contratos de</w:t>
      </w:r>
      <w:r>
        <w:rPr>
          <w:spacing w:val="1"/>
        </w:rPr>
        <w:t> </w:t>
      </w:r>
      <w:r>
        <w:rPr/>
        <w:t>prestação contínua, destacando</w:t>
      </w:r>
      <w:r>
        <w:rPr>
          <w:spacing w:val="1"/>
        </w:rPr>
        <w:t> </w:t>
      </w:r>
      <w:r>
        <w:rPr/>
        <w:t>que</w:t>
      </w:r>
      <w:r>
        <w:rPr>
          <w:spacing w:val="1"/>
        </w:rPr>
        <w:t> </w:t>
      </w:r>
      <w:r>
        <w:rPr/>
        <w:t>essa</w:t>
      </w:r>
      <w:r>
        <w:rPr>
          <w:spacing w:val="1"/>
        </w:rPr>
        <w:t> </w:t>
      </w:r>
      <w:r>
        <w:rPr/>
        <w:t>situação</w:t>
      </w:r>
      <w:r>
        <w:rPr>
          <w:spacing w:val="2"/>
        </w:rPr>
        <w:t> </w:t>
      </w:r>
      <w:r>
        <w:rPr/>
        <w:t>decorre,</w:t>
      </w:r>
      <w:r>
        <w:rPr>
          <w:spacing w:val="1"/>
        </w:rPr>
        <w:t> </w:t>
      </w:r>
      <w:r>
        <w:rPr/>
        <w:t>em parte,</w:t>
      </w:r>
      <w:r>
        <w:rPr>
          <w:spacing w:val="2"/>
        </w:rPr>
        <w:t> </w:t>
      </w:r>
      <w:r>
        <w:rPr/>
        <w:t>da</w:t>
      </w:r>
      <w:r>
        <w:rPr>
          <w:spacing w:val="1"/>
        </w:rPr>
        <w:t> </w:t>
      </w:r>
      <w:r>
        <w:rPr>
          <w:spacing w:val="-2"/>
        </w:rPr>
        <w:t>ausência</w:t>
      </w:r>
    </w:p>
    <w:p>
      <w:pPr>
        <w:pStyle w:val="BodyText"/>
        <w:spacing w:after="0"/>
        <w:sectPr>
          <w:pgSz w:w="11900" w:h="16840"/>
          <w:pgMar w:header="0" w:footer="181" w:top="500" w:bottom="380" w:left="566" w:right="566"/>
        </w:sectPr>
      </w:pPr>
    </w:p>
    <w:p>
      <w:pPr>
        <w:pStyle w:val="BodyText"/>
        <w:spacing w:before="60"/>
      </w:pPr>
      <w:r>
        <w:rPr/>
        <w:t>de</w:t>
      </w:r>
      <w:r>
        <w:rPr>
          <w:spacing w:val="-7"/>
        </w:rPr>
        <w:t> </w:t>
      </w:r>
      <w:r>
        <w:rPr/>
        <w:t>um</w:t>
      </w:r>
      <w:r>
        <w:rPr>
          <w:spacing w:val="-7"/>
        </w:rPr>
        <w:t> </w:t>
      </w:r>
      <w:r>
        <w:rPr/>
        <w:t>adequado</w:t>
      </w:r>
      <w:r>
        <w:rPr>
          <w:spacing w:val="-7"/>
        </w:rPr>
        <w:t> </w:t>
      </w:r>
      <w:r>
        <w:rPr>
          <w:spacing w:val="-4"/>
        </w:rPr>
        <w:t>PCA.</w:t>
      </w:r>
    </w:p>
    <w:p>
      <w:pPr>
        <w:pStyle w:val="BodyText"/>
        <w:spacing w:before="235"/>
        <w:ind w:left="0"/>
      </w:pPr>
    </w:p>
    <w:p>
      <w:pPr>
        <w:pStyle w:val="Heading2"/>
        <w:numPr>
          <w:ilvl w:val="1"/>
          <w:numId w:val="1"/>
        </w:numPr>
        <w:tabs>
          <w:tab w:pos="599" w:val="left" w:leader="none"/>
        </w:tabs>
        <w:spacing w:line="240" w:lineRule="auto" w:before="0" w:after="0"/>
        <w:ind w:left="599" w:right="0" w:hanging="357"/>
        <w:jc w:val="left"/>
      </w:pPr>
      <w:r>
        <w:rPr/>
        <w:t>-</w:t>
      </w:r>
      <w:r>
        <w:rPr>
          <w:spacing w:val="-12"/>
        </w:rPr>
        <w:t> </w:t>
      </w:r>
      <w:r>
        <w:rPr/>
        <w:t>Autorizações</w:t>
      </w:r>
      <w:r>
        <w:rPr>
          <w:spacing w:val="-12"/>
        </w:rPr>
        <w:t> </w:t>
      </w:r>
      <w:r>
        <w:rPr/>
        <w:t>DIRPRE</w:t>
      </w:r>
      <w:r>
        <w:rPr>
          <w:spacing w:val="-12"/>
        </w:rPr>
        <w:t> </w:t>
      </w:r>
      <w:r>
        <w:rPr/>
        <w:t>realizadas</w:t>
      </w:r>
      <w:r>
        <w:rPr>
          <w:spacing w:val="-12"/>
        </w:rPr>
        <w:t> </w:t>
      </w:r>
      <w:r>
        <w:rPr/>
        <w:t>em</w:t>
      </w:r>
      <w:r>
        <w:rPr>
          <w:spacing w:val="-11"/>
        </w:rPr>
        <w:t> </w:t>
      </w:r>
      <w:r>
        <w:rPr/>
        <w:t>maio/</w:t>
      </w:r>
      <w:r>
        <w:rPr>
          <w:spacing w:val="-12"/>
        </w:rPr>
        <w:t> </w:t>
      </w:r>
      <w:r>
        <w:rPr>
          <w:spacing w:val="-4"/>
        </w:rPr>
        <w:t>2026</w:t>
      </w:r>
    </w:p>
    <w:p>
      <w:pPr>
        <w:pStyle w:val="BodyText"/>
        <w:spacing w:before="118"/>
        <w:ind w:left="1649"/>
      </w:pPr>
      <w:r>
        <w:rPr/>
        <w:t>Em</w:t>
      </w:r>
      <w:r>
        <w:rPr>
          <w:spacing w:val="1"/>
        </w:rPr>
        <w:t> </w:t>
      </w:r>
      <w:r>
        <w:rPr/>
        <w:t>seguida,</w:t>
      </w:r>
      <w:r>
        <w:rPr>
          <w:spacing w:val="1"/>
        </w:rPr>
        <w:t> </w:t>
      </w:r>
      <w:r>
        <w:rPr/>
        <w:t>o</w:t>
      </w:r>
      <w:r>
        <w:rPr>
          <w:spacing w:val="1"/>
        </w:rPr>
        <w:t> </w:t>
      </w:r>
      <w:r>
        <w:rPr/>
        <w:t>Conselho</w:t>
      </w:r>
      <w:r>
        <w:rPr>
          <w:spacing w:val="1"/>
        </w:rPr>
        <w:t> </w:t>
      </w:r>
      <w:r>
        <w:rPr/>
        <w:t>analisou</w:t>
      </w:r>
      <w:r>
        <w:rPr>
          <w:spacing w:val="1"/>
        </w:rPr>
        <w:t> </w:t>
      </w:r>
      <w:r>
        <w:rPr/>
        <w:t>as</w:t>
      </w:r>
      <w:r>
        <w:rPr>
          <w:spacing w:val="-10"/>
        </w:rPr>
        <w:t> </w:t>
      </w:r>
      <w:r>
        <w:rPr/>
        <w:t>Autorizações</w:t>
      </w:r>
      <w:r>
        <w:rPr>
          <w:spacing w:val="1"/>
        </w:rPr>
        <w:t> </w:t>
      </w:r>
      <w:r>
        <w:rPr/>
        <w:t>DIRPRE</w:t>
      </w:r>
      <w:r>
        <w:rPr>
          <w:spacing w:val="21"/>
        </w:rPr>
        <w:t> </w:t>
      </w:r>
      <w:r>
        <w:rPr/>
        <w:t>nºs</w:t>
      </w:r>
      <w:r>
        <w:rPr>
          <w:spacing w:val="1"/>
        </w:rPr>
        <w:t> </w:t>
      </w:r>
      <w:r>
        <w:rPr/>
        <w:t>37</w:t>
      </w:r>
      <w:r>
        <w:rPr>
          <w:spacing w:val="1"/>
        </w:rPr>
        <w:t> </w:t>
      </w:r>
      <w:r>
        <w:rPr/>
        <w:t>a</w:t>
      </w:r>
      <w:r>
        <w:rPr>
          <w:spacing w:val="1"/>
        </w:rPr>
        <w:t> </w:t>
      </w:r>
      <w:r>
        <w:rPr/>
        <w:t>43,</w:t>
      </w:r>
      <w:r>
        <w:rPr>
          <w:spacing w:val="1"/>
        </w:rPr>
        <w:t> </w:t>
      </w:r>
      <w:r>
        <w:rPr/>
        <w:t>realizadas</w:t>
      </w:r>
      <w:r>
        <w:rPr>
          <w:spacing w:val="1"/>
        </w:rPr>
        <w:t> </w:t>
      </w:r>
      <w:r>
        <w:rPr/>
        <w:t>em</w:t>
      </w:r>
      <w:r>
        <w:rPr>
          <w:spacing w:val="1"/>
        </w:rPr>
        <w:t> </w:t>
      </w:r>
      <w:r>
        <w:rPr>
          <w:spacing w:val="-4"/>
        </w:rPr>
        <w:t>maio</w:t>
      </w:r>
    </w:p>
    <w:p>
      <w:pPr>
        <w:pStyle w:val="BodyText"/>
        <w:spacing w:line="274" w:lineRule="exact"/>
      </w:pPr>
      <w:r>
        <w:rPr/>
        <w:t>de</w:t>
      </w:r>
      <w:r>
        <w:rPr>
          <w:spacing w:val="-4"/>
        </w:rPr>
        <w:t> </w:t>
      </w:r>
      <w:r>
        <w:rPr>
          <w:spacing w:val="-2"/>
        </w:rPr>
        <w:t>2026.</w:t>
      </w:r>
    </w:p>
    <w:p>
      <w:pPr>
        <w:pStyle w:val="BodyText"/>
        <w:spacing w:before="235"/>
        <w:ind w:left="0"/>
      </w:pPr>
    </w:p>
    <w:p>
      <w:pPr>
        <w:pStyle w:val="Heading2"/>
        <w:numPr>
          <w:ilvl w:val="1"/>
          <w:numId w:val="1"/>
        </w:numPr>
        <w:tabs>
          <w:tab w:pos="599" w:val="left" w:leader="none"/>
        </w:tabs>
        <w:spacing w:line="240" w:lineRule="auto" w:before="0" w:after="0"/>
        <w:ind w:left="599" w:right="0" w:hanging="357"/>
        <w:jc w:val="left"/>
      </w:pPr>
      <w:r>
        <w:rPr/>
        <w:t>–</w:t>
      </w:r>
      <w:r>
        <w:rPr>
          <w:spacing w:val="-9"/>
        </w:rPr>
        <w:t> </w:t>
      </w:r>
      <w:r>
        <w:rPr/>
        <w:t>Minuta</w:t>
      </w:r>
      <w:r>
        <w:rPr>
          <w:spacing w:val="-8"/>
        </w:rPr>
        <w:t> </w:t>
      </w:r>
      <w:r>
        <w:rPr/>
        <w:t>da</w:t>
      </w:r>
      <w:r>
        <w:rPr>
          <w:spacing w:val="-8"/>
        </w:rPr>
        <w:t> </w:t>
      </w:r>
      <w:r>
        <w:rPr/>
        <w:t>Ata</w:t>
      </w:r>
      <w:r>
        <w:rPr>
          <w:spacing w:val="-9"/>
        </w:rPr>
        <w:t> </w:t>
      </w:r>
      <w:r>
        <w:rPr/>
        <w:t>da</w:t>
      </w:r>
      <w:r>
        <w:rPr>
          <w:spacing w:val="-8"/>
        </w:rPr>
        <w:t> </w:t>
      </w:r>
      <w:r>
        <w:rPr/>
        <w:t>610ª</w:t>
      </w:r>
      <w:r>
        <w:rPr>
          <w:spacing w:val="-8"/>
        </w:rPr>
        <w:t> </w:t>
      </w:r>
      <w:r>
        <w:rPr/>
        <w:t>Reunião</w:t>
      </w:r>
      <w:r>
        <w:rPr>
          <w:spacing w:val="-8"/>
        </w:rPr>
        <w:t> </w:t>
      </w:r>
      <w:r>
        <w:rPr/>
        <w:t>Ordinária</w:t>
      </w:r>
      <w:r>
        <w:rPr>
          <w:spacing w:val="-9"/>
        </w:rPr>
        <w:t> </w:t>
      </w:r>
      <w:r>
        <w:rPr/>
        <w:t>do</w:t>
      </w:r>
      <w:r>
        <w:rPr>
          <w:spacing w:val="-8"/>
        </w:rPr>
        <w:t> </w:t>
      </w:r>
      <w:r>
        <w:rPr>
          <w:spacing w:val="-2"/>
        </w:rPr>
        <w:t>CONSAD</w:t>
      </w:r>
    </w:p>
    <w:p>
      <w:pPr>
        <w:pStyle w:val="BodyText"/>
        <w:spacing w:before="117"/>
        <w:ind w:left="1649"/>
      </w:pPr>
      <w:r>
        <w:rPr/>
        <w:t>O</w:t>
      </w:r>
      <w:r>
        <w:rPr>
          <w:spacing w:val="-3"/>
        </w:rPr>
        <w:t> </w:t>
      </w:r>
      <w:r>
        <w:rPr/>
        <w:t>Conselho</w:t>
      </w:r>
      <w:r>
        <w:rPr>
          <w:spacing w:val="-2"/>
        </w:rPr>
        <w:t> </w:t>
      </w:r>
      <w:r>
        <w:rPr/>
        <w:t>recebeu</w:t>
      </w:r>
      <w:r>
        <w:rPr>
          <w:spacing w:val="-2"/>
        </w:rPr>
        <w:t> </w:t>
      </w:r>
      <w:r>
        <w:rPr/>
        <w:t>a</w:t>
      </w:r>
      <w:r>
        <w:rPr>
          <w:spacing w:val="-2"/>
        </w:rPr>
        <w:t> </w:t>
      </w:r>
      <w:r>
        <w:rPr/>
        <w:t>minuta</w:t>
      </w:r>
      <w:r>
        <w:rPr>
          <w:spacing w:val="-2"/>
        </w:rPr>
        <w:t> </w:t>
      </w:r>
      <w:r>
        <w:rPr/>
        <w:t>da</w:t>
      </w:r>
      <w:r>
        <w:rPr>
          <w:spacing w:val="-13"/>
        </w:rPr>
        <w:t> </w:t>
      </w:r>
      <w:r>
        <w:rPr/>
        <w:t>Ata</w:t>
      </w:r>
      <w:r>
        <w:rPr>
          <w:spacing w:val="12"/>
        </w:rPr>
        <w:t> </w:t>
      </w:r>
      <w:r>
        <w:rPr/>
        <w:t>da</w:t>
      </w:r>
      <w:r>
        <w:rPr>
          <w:spacing w:val="-3"/>
        </w:rPr>
        <w:t> </w:t>
      </w:r>
      <w:r>
        <w:rPr/>
        <w:t>610ª</w:t>
      </w:r>
      <w:r>
        <w:rPr>
          <w:spacing w:val="-3"/>
        </w:rPr>
        <w:t> </w:t>
      </w:r>
      <w:r>
        <w:rPr/>
        <w:t>Reunião</w:t>
      </w:r>
      <w:r>
        <w:rPr>
          <w:spacing w:val="-3"/>
        </w:rPr>
        <w:t> </w:t>
      </w:r>
      <w:r>
        <w:rPr/>
        <w:t>Ordinária</w:t>
      </w:r>
      <w:r>
        <w:rPr>
          <w:spacing w:val="-3"/>
        </w:rPr>
        <w:t> </w:t>
      </w:r>
      <w:r>
        <w:rPr/>
        <w:t>do</w:t>
      </w:r>
      <w:r>
        <w:rPr>
          <w:spacing w:val="-3"/>
        </w:rPr>
        <w:t> </w:t>
      </w:r>
      <w:r>
        <w:rPr/>
        <w:t>CONSAD,</w:t>
      </w:r>
      <w:r>
        <w:rPr>
          <w:spacing w:val="-2"/>
        </w:rPr>
        <w:t> </w:t>
      </w:r>
      <w:r>
        <w:rPr/>
        <w:t>realizada</w:t>
      </w:r>
      <w:r>
        <w:rPr>
          <w:spacing w:val="-2"/>
        </w:rPr>
        <w:t> </w:t>
      </w:r>
      <w:r>
        <w:rPr>
          <w:spacing w:val="-5"/>
        </w:rPr>
        <w:t>em</w:t>
      </w:r>
    </w:p>
    <w:p>
      <w:pPr>
        <w:pStyle w:val="BodyText"/>
        <w:spacing w:line="275" w:lineRule="exact"/>
      </w:pPr>
      <w:r>
        <w:rPr/>
        <w:t>maio</w:t>
      </w:r>
      <w:r>
        <w:rPr>
          <w:spacing w:val="-7"/>
        </w:rPr>
        <w:t> </w:t>
      </w:r>
      <w:r>
        <w:rPr/>
        <w:t>de</w:t>
      </w:r>
      <w:r>
        <w:rPr>
          <w:spacing w:val="-6"/>
        </w:rPr>
        <w:t> </w:t>
      </w:r>
      <w:r>
        <w:rPr>
          <w:spacing w:val="-2"/>
        </w:rPr>
        <w:t>2026.</w:t>
      </w:r>
    </w:p>
    <w:p>
      <w:pPr>
        <w:pStyle w:val="BodyText"/>
        <w:spacing w:before="117"/>
        <w:ind w:left="1649"/>
      </w:pPr>
      <w:r>
        <w:rPr/>
        <w:t>O Conselho</w:t>
      </w:r>
      <w:r>
        <w:rPr>
          <w:spacing w:val="1"/>
        </w:rPr>
        <w:t> </w:t>
      </w:r>
      <w:r>
        <w:rPr/>
        <w:t>reitera</w:t>
      </w:r>
      <w:r>
        <w:rPr>
          <w:spacing w:val="1"/>
        </w:rPr>
        <w:t> </w:t>
      </w:r>
      <w:r>
        <w:rPr/>
        <w:t>a</w:t>
      </w:r>
      <w:r>
        <w:rPr>
          <w:spacing w:val="1"/>
        </w:rPr>
        <w:t> </w:t>
      </w:r>
      <w:r>
        <w:rPr/>
        <w:t>imprescindibilidade</w:t>
      </w:r>
      <w:r>
        <w:rPr>
          <w:spacing w:val="1"/>
        </w:rPr>
        <w:t> </w:t>
      </w:r>
      <w:r>
        <w:rPr/>
        <w:t>do</w:t>
      </w:r>
      <w:r>
        <w:rPr>
          <w:spacing w:val="1"/>
        </w:rPr>
        <w:t> </w:t>
      </w:r>
      <w:r>
        <w:rPr/>
        <w:t>envio</w:t>
      </w:r>
      <w:r>
        <w:rPr>
          <w:spacing w:val="1"/>
        </w:rPr>
        <w:t> </w:t>
      </w:r>
      <w:r>
        <w:rPr/>
        <w:t>da ata</w:t>
      </w:r>
      <w:r>
        <w:rPr>
          <w:spacing w:val="1"/>
        </w:rPr>
        <w:t> </w:t>
      </w:r>
      <w:r>
        <w:rPr/>
        <w:t>assinada</w:t>
      </w:r>
      <w:r>
        <w:rPr>
          <w:spacing w:val="1"/>
        </w:rPr>
        <w:t> </w:t>
      </w:r>
      <w:r>
        <w:rPr/>
        <w:t>no</w:t>
      </w:r>
      <w:r>
        <w:rPr>
          <w:spacing w:val="1"/>
        </w:rPr>
        <w:t> </w:t>
      </w:r>
      <w:r>
        <w:rPr/>
        <w:t>prazo</w:t>
      </w:r>
      <w:r>
        <w:rPr>
          <w:spacing w:val="1"/>
        </w:rPr>
        <w:t> </w:t>
      </w:r>
      <w:r>
        <w:rPr/>
        <w:t>determinado</w:t>
      </w:r>
      <w:r>
        <w:rPr>
          <w:spacing w:val="1"/>
        </w:rPr>
        <w:t> </w:t>
      </w:r>
      <w:r>
        <w:rPr>
          <w:spacing w:val="-5"/>
        </w:rPr>
        <w:t>no</w:t>
      </w:r>
    </w:p>
    <w:p>
      <w:pPr>
        <w:pStyle w:val="BodyText"/>
        <w:ind w:right="247"/>
        <w:jc w:val="both"/>
      </w:pPr>
      <w:r>
        <w:rPr/>
        <w:t>§ 1°, do art. 163, da Lei n° 6.404/1976; esclarecendo que, em caso de não assinatura da ata no referido prazo</w:t>
      </w:r>
      <w:r>
        <w:rPr>
          <w:spacing w:val="-4"/>
        </w:rPr>
        <w:t> </w:t>
      </w:r>
      <w:r>
        <w:rPr/>
        <w:t>legal,</w:t>
      </w:r>
      <w:r>
        <w:rPr>
          <w:spacing w:val="-4"/>
        </w:rPr>
        <w:t> </w:t>
      </w:r>
      <w:r>
        <w:rPr/>
        <w:t>não</w:t>
      </w:r>
      <w:r>
        <w:rPr>
          <w:spacing w:val="-4"/>
        </w:rPr>
        <w:t> </w:t>
      </w:r>
      <w:r>
        <w:rPr/>
        <w:t>é</w:t>
      </w:r>
      <w:r>
        <w:rPr>
          <w:spacing w:val="-4"/>
        </w:rPr>
        <w:t> </w:t>
      </w:r>
      <w:r>
        <w:rPr/>
        <w:t>suficiente</w:t>
      </w:r>
      <w:r>
        <w:rPr>
          <w:spacing w:val="-4"/>
        </w:rPr>
        <w:t> </w:t>
      </w:r>
      <w:r>
        <w:rPr/>
        <w:t>o</w:t>
      </w:r>
      <w:r>
        <w:rPr>
          <w:spacing w:val="-4"/>
        </w:rPr>
        <w:t> </w:t>
      </w:r>
      <w:r>
        <w:rPr/>
        <w:t>envio</w:t>
      </w:r>
      <w:r>
        <w:rPr>
          <w:spacing w:val="-4"/>
        </w:rPr>
        <w:t> </w:t>
      </w:r>
      <w:r>
        <w:rPr/>
        <w:t>da</w:t>
      </w:r>
      <w:r>
        <w:rPr>
          <w:spacing w:val="-4"/>
        </w:rPr>
        <w:t> </w:t>
      </w:r>
      <w:r>
        <w:rPr/>
        <w:t>minuta</w:t>
      </w:r>
      <w:r>
        <w:rPr>
          <w:spacing w:val="-4"/>
        </w:rPr>
        <w:t> </w:t>
      </w:r>
      <w:r>
        <w:rPr/>
        <w:t>da</w:t>
      </w:r>
      <w:r>
        <w:rPr>
          <w:spacing w:val="-4"/>
        </w:rPr>
        <w:t> </w:t>
      </w:r>
      <w:r>
        <w:rPr/>
        <w:t>ata,</w:t>
      </w:r>
      <w:r>
        <w:rPr>
          <w:spacing w:val="-4"/>
        </w:rPr>
        <w:t> </w:t>
      </w:r>
      <w:r>
        <w:rPr/>
        <w:t>devendo,</w:t>
      </w:r>
      <w:r>
        <w:rPr>
          <w:spacing w:val="-4"/>
        </w:rPr>
        <w:t> </w:t>
      </w:r>
      <w:r>
        <w:rPr/>
        <w:t>conforme</w:t>
      </w:r>
      <w:r>
        <w:rPr>
          <w:spacing w:val="-4"/>
        </w:rPr>
        <w:t> </w:t>
      </w:r>
      <w:r>
        <w:rPr/>
        <w:t>já</w:t>
      </w:r>
      <w:r>
        <w:rPr>
          <w:spacing w:val="-4"/>
        </w:rPr>
        <w:t> </w:t>
      </w:r>
      <w:r>
        <w:rPr/>
        <w:t>assinalado</w:t>
      </w:r>
      <w:r>
        <w:rPr>
          <w:spacing w:val="-4"/>
        </w:rPr>
        <w:t> </w:t>
      </w:r>
      <w:r>
        <w:rPr/>
        <w:t>em</w:t>
      </w:r>
      <w:r>
        <w:rPr>
          <w:spacing w:val="-4"/>
        </w:rPr>
        <w:t> </w:t>
      </w:r>
      <w:r>
        <w:rPr/>
        <w:t>outras</w:t>
      </w:r>
      <w:r>
        <w:rPr>
          <w:spacing w:val="-4"/>
        </w:rPr>
        <w:t> </w:t>
      </w:r>
      <w:r>
        <w:rPr/>
        <w:t>ocasiões, a Secretaria do colegiado apresentar, no prazo de 10 (dez) dias corridos, uma certidão contendo o resumo do que foi deliberado e decidido pelo Consad.</w:t>
      </w:r>
    </w:p>
    <w:p>
      <w:pPr>
        <w:pStyle w:val="BodyText"/>
        <w:spacing w:before="111"/>
        <w:ind w:right="245" w:firstLine="1406"/>
        <w:jc w:val="both"/>
      </w:pPr>
      <w:r>
        <w:rPr/>
        <w:t>Por fim, o Conselho ressalta a necessidade de ajuste das alíneas “c” e “d” do item 3.1, consignando, ainda, que a</w:t>
      </w:r>
      <w:r>
        <w:rPr>
          <w:spacing w:val="-6"/>
        </w:rPr>
        <w:t> </w:t>
      </w:r>
      <w:r>
        <w:rPr>
          <w:spacing w:val="15"/>
        </w:rPr>
        <w:t>Ata</w:t>
      </w:r>
      <w:r>
        <w:rPr>
          <w:spacing w:val="-3"/>
        </w:rPr>
        <w:t> </w:t>
      </w:r>
      <w:r>
        <w:rPr/>
        <w:t>da 610ª Reunião Ordinária do CONSAD continuará na pendência de avaliação pelo colegiado.</w:t>
      </w:r>
    </w:p>
    <w:p>
      <w:pPr>
        <w:pStyle w:val="BodyText"/>
        <w:spacing w:before="231"/>
        <w:ind w:left="0"/>
      </w:pPr>
    </w:p>
    <w:p>
      <w:pPr>
        <w:pStyle w:val="Heading2"/>
        <w:numPr>
          <w:ilvl w:val="1"/>
          <w:numId w:val="1"/>
        </w:numPr>
        <w:tabs>
          <w:tab w:pos="775" w:val="left" w:leader="none"/>
        </w:tabs>
        <w:spacing w:line="240" w:lineRule="auto" w:before="0" w:after="0"/>
        <w:ind w:left="242" w:right="269" w:firstLine="0"/>
        <w:jc w:val="both"/>
      </w:pPr>
      <w:r>
        <w:rPr/>
        <w:t>- Atas das 172ª e 173ª Reuniões Ordinárias do Comitê de Auditoria Estatutário da CDC, realizadas em abril/2026</w:t>
      </w:r>
    </w:p>
    <w:p>
      <w:pPr>
        <w:pStyle w:val="BodyText"/>
        <w:spacing w:before="116"/>
        <w:ind w:right="268" w:firstLine="1406"/>
        <w:jc w:val="both"/>
      </w:pPr>
      <w:r>
        <w:rPr/>
        <w:t>O Conselho recebeu as Atas das 172ª e 173ª Reuniões Ordinárias do Comitê de Auditoria Estatutário da CDC, realizadas em abril/2026.</w:t>
      </w:r>
    </w:p>
    <w:p>
      <w:pPr>
        <w:pStyle w:val="BodyText"/>
        <w:spacing w:before="116"/>
        <w:ind w:right="239" w:firstLine="1406"/>
        <w:jc w:val="both"/>
      </w:pPr>
      <w:r>
        <w:rPr/>
        <w:t>O</w:t>
      </w:r>
      <w:r>
        <w:rPr>
          <w:spacing w:val="-3"/>
        </w:rPr>
        <w:t> </w:t>
      </w:r>
      <w:r>
        <w:rPr/>
        <w:t>Colegiado</w:t>
      </w:r>
      <w:r>
        <w:rPr>
          <w:spacing w:val="-3"/>
        </w:rPr>
        <w:t> </w:t>
      </w:r>
      <w:r>
        <w:rPr/>
        <w:t>ratifica</w:t>
      </w:r>
      <w:r>
        <w:rPr>
          <w:spacing w:val="-3"/>
        </w:rPr>
        <w:t> </w:t>
      </w:r>
      <w:r>
        <w:rPr/>
        <w:t>a</w:t>
      </w:r>
      <w:r>
        <w:rPr>
          <w:spacing w:val="-3"/>
        </w:rPr>
        <w:t> </w:t>
      </w:r>
      <w:r>
        <w:rPr/>
        <w:t>recomendação</w:t>
      </w:r>
      <w:r>
        <w:rPr>
          <w:spacing w:val="-3"/>
        </w:rPr>
        <w:t> </w:t>
      </w:r>
      <w:r>
        <w:rPr/>
        <w:t>exarada</w:t>
      </w:r>
      <w:r>
        <w:rPr>
          <w:spacing w:val="-3"/>
        </w:rPr>
        <w:t> </w:t>
      </w:r>
      <w:r>
        <w:rPr/>
        <w:t>na</w:t>
      </w:r>
      <w:r>
        <w:rPr>
          <w:spacing w:val="-13"/>
        </w:rPr>
        <w:t> </w:t>
      </w:r>
      <w:r>
        <w:rPr/>
        <w:t>Ata</w:t>
      </w:r>
      <w:r>
        <w:rPr>
          <w:spacing w:val="-3"/>
        </w:rPr>
        <w:t> </w:t>
      </w:r>
      <w:r>
        <w:rPr/>
        <w:t>da</w:t>
      </w:r>
      <w:r>
        <w:rPr>
          <w:spacing w:val="-3"/>
        </w:rPr>
        <w:t> </w:t>
      </w:r>
      <w:r>
        <w:rPr/>
        <w:t>172ª</w:t>
      </w:r>
      <w:r>
        <w:rPr>
          <w:spacing w:val="-3"/>
        </w:rPr>
        <w:t> </w:t>
      </w:r>
      <w:r>
        <w:rPr/>
        <w:t>Reunião</w:t>
      </w:r>
      <w:r>
        <w:rPr>
          <w:spacing w:val="-2"/>
        </w:rPr>
        <w:t> </w:t>
      </w:r>
      <w:r>
        <w:rPr/>
        <w:t>do</w:t>
      </w:r>
      <w:r>
        <w:rPr>
          <w:spacing w:val="-2"/>
        </w:rPr>
        <w:t> </w:t>
      </w:r>
      <w:r>
        <w:rPr/>
        <w:t>COAUD,</w:t>
      </w:r>
      <w:r>
        <w:rPr>
          <w:spacing w:val="-2"/>
        </w:rPr>
        <w:t> </w:t>
      </w:r>
      <w:r>
        <w:rPr/>
        <w:t>item</w:t>
      </w:r>
      <w:r>
        <w:rPr>
          <w:spacing w:val="-2"/>
        </w:rPr>
        <w:t> </w:t>
      </w:r>
      <w:r>
        <w:rPr/>
        <w:t>2.2, acerca do cronograma das Demonstrações Financeiras referentes ao 1º, 2º e 3º trimestres e ao fechamento do exercício de 2026, quais sejam: Inclusão das datas de execução dos trabalhos de auditoria independente e entrega dos respectivos relatórios de opinião, inclusão das datas de reunião de apreciação dos órgão colegiados (CONSAD, CONFIS, COAUD e DIREXE) e os respectivos nomes dos responsáveis para cada etapa. Ressaltaram a importância de definir os prazos mínimos de recebimento e apreciação dos documentos por todos os envolvidos.</w:t>
      </w:r>
    </w:p>
    <w:p>
      <w:pPr>
        <w:pStyle w:val="BodyText"/>
        <w:spacing w:before="107"/>
        <w:ind w:right="241" w:firstLine="1406"/>
        <w:jc w:val="both"/>
      </w:pPr>
      <w:r>
        <w:rPr/>
        <w:t>Ratifica, ainda, a recomendação constante da</w:t>
      </w:r>
      <w:r>
        <w:rPr>
          <w:spacing w:val="-11"/>
        </w:rPr>
        <w:t> </w:t>
      </w:r>
      <w:r>
        <w:rPr/>
        <w:t>Ata da 173ª Reunião do COAUD, item 2.3, no sentido de que sejam implementadas, no exercício de 2026, as recomendações contidas no relatório da IBIAEON, quais sejam: Não proceder à baixa automática de bens com valor contábil relevante;</w:t>
      </w:r>
      <w:r>
        <w:rPr>
          <w:spacing w:val="-2"/>
        </w:rPr>
        <w:t> </w:t>
      </w:r>
      <w:r>
        <w:rPr/>
        <w:t>Avaliar a viabilidade econômica da apuração de responsabilidade; Para bens totalmente depreciados, cuja recuperação seja inviável, avaliar baixa; Instaurar procedimento administrativo para alienação, preferencialmente por leilão, com posterior baixa patrimonial.</w:t>
      </w:r>
    </w:p>
    <w:p>
      <w:pPr>
        <w:pStyle w:val="BodyText"/>
        <w:spacing w:before="226"/>
        <w:ind w:left="0"/>
      </w:pPr>
    </w:p>
    <w:p>
      <w:pPr>
        <w:pStyle w:val="Heading2"/>
        <w:numPr>
          <w:ilvl w:val="1"/>
          <w:numId w:val="1"/>
        </w:numPr>
        <w:tabs>
          <w:tab w:pos="718" w:val="left" w:leader="none"/>
        </w:tabs>
        <w:spacing w:line="240" w:lineRule="auto" w:before="0" w:after="0"/>
        <w:ind w:left="718" w:right="0" w:hanging="476"/>
        <w:jc w:val="both"/>
      </w:pPr>
      <w:r>
        <w:rPr/>
        <w:t>–</w:t>
      </w:r>
      <w:r>
        <w:rPr>
          <w:spacing w:val="-11"/>
        </w:rPr>
        <w:t> </w:t>
      </w:r>
      <w:r>
        <w:rPr/>
        <w:t>Relatório</w:t>
      </w:r>
      <w:r>
        <w:rPr>
          <w:spacing w:val="-10"/>
        </w:rPr>
        <w:t> </w:t>
      </w:r>
      <w:r>
        <w:rPr/>
        <w:t>AUDINT</w:t>
      </w:r>
      <w:r>
        <w:rPr>
          <w:spacing w:val="-10"/>
        </w:rPr>
        <w:t> </w:t>
      </w:r>
      <w:r>
        <w:rPr/>
        <w:t>nº</w:t>
      </w:r>
      <w:r>
        <w:rPr>
          <w:spacing w:val="-10"/>
        </w:rPr>
        <w:t> </w:t>
      </w:r>
      <w:r>
        <w:rPr/>
        <w:t>01/2026</w:t>
      </w:r>
      <w:r>
        <w:rPr>
          <w:spacing w:val="-10"/>
        </w:rPr>
        <w:t> </w:t>
      </w:r>
      <w:r>
        <w:rPr/>
        <w:t>–</w:t>
      </w:r>
      <w:r>
        <w:rPr>
          <w:spacing w:val="-10"/>
        </w:rPr>
        <w:t> </w:t>
      </w:r>
      <w:r>
        <w:rPr/>
        <w:t>Monitoramento</w:t>
      </w:r>
      <w:r>
        <w:rPr>
          <w:spacing w:val="-10"/>
        </w:rPr>
        <w:t> </w:t>
      </w:r>
      <w:r>
        <w:rPr/>
        <w:t>de</w:t>
      </w:r>
      <w:r>
        <w:rPr>
          <w:spacing w:val="-10"/>
        </w:rPr>
        <w:t> </w:t>
      </w:r>
      <w:r>
        <w:rPr>
          <w:spacing w:val="-2"/>
        </w:rPr>
        <w:t>recomendações</w:t>
      </w:r>
    </w:p>
    <w:p>
      <w:pPr>
        <w:pStyle w:val="BodyText"/>
        <w:spacing w:before="118"/>
        <w:ind w:right="271" w:firstLine="1406"/>
        <w:jc w:val="both"/>
      </w:pPr>
      <w:r>
        <w:rPr/>
        <w:t>A Coordenadora de Auditoria Interna, Sra. Rebeca Soares, compareceu à reunião e apresentou o Relatório nº 01/2026, referente ao monitoramento das recomendações de auditoria.</w:t>
      </w:r>
    </w:p>
    <w:p>
      <w:pPr>
        <w:pStyle w:val="BodyText"/>
        <w:spacing w:before="115"/>
        <w:ind w:right="240" w:firstLine="1406"/>
        <w:jc w:val="both"/>
      </w:pPr>
      <w:r>
        <w:rPr/>
        <w:t>O Conselho parabeniza a gestão pelo avanço na implementação de recomendações mais antigas que se encontravam pendentes. Ressalta, ainda, a importância do contínuo engajamento das áreas responsáveis para a implementação das recomendações, especialmente aquelas classificadas com alto grau de criticidade.</w:t>
      </w:r>
    </w:p>
    <w:p>
      <w:pPr>
        <w:pStyle w:val="BodyText"/>
        <w:spacing w:before="230"/>
        <w:ind w:left="0"/>
      </w:pPr>
    </w:p>
    <w:p>
      <w:pPr>
        <w:pStyle w:val="Heading2"/>
        <w:numPr>
          <w:ilvl w:val="1"/>
          <w:numId w:val="1"/>
        </w:numPr>
        <w:tabs>
          <w:tab w:pos="718" w:val="left" w:leader="none"/>
        </w:tabs>
        <w:spacing w:line="240" w:lineRule="auto" w:before="0" w:after="0"/>
        <w:ind w:left="718" w:right="0" w:hanging="476"/>
        <w:jc w:val="both"/>
      </w:pPr>
      <w:r>
        <w:rPr/>
        <w:t>–</w:t>
      </w:r>
      <w:r>
        <w:rPr>
          <w:spacing w:val="-3"/>
        </w:rPr>
        <w:t> </w:t>
      </w:r>
      <w:r>
        <w:rPr>
          <w:spacing w:val="-2"/>
        </w:rPr>
        <w:t>Pendências</w:t>
      </w:r>
    </w:p>
    <w:p>
      <w:pPr>
        <w:spacing w:before="118"/>
        <w:ind w:left="242" w:right="245" w:firstLine="0"/>
        <w:jc w:val="both"/>
        <w:rPr>
          <w:sz w:val="24"/>
        </w:rPr>
      </w:pPr>
      <w:r>
        <w:rPr>
          <w:b/>
          <w:sz w:val="24"/>
          <w:u w:val="single"/>
        </w:rPr>
        <w:t>Atas das 2479ª a 2484ª Reuniões Ordinárias e 68ª a 71ª Reuniões Extraordinárias da DIREXE,</w:t>
      </w:r>
      <w:r>
        <w:rPr>
          <w:b/>
          <w:sz w:val="24"/>
        </w:rPr>
        <w:t> </w:t>
      </w:r>
      <w:r>
        <w:rPr>
          <w:b/>
          <w:sz w:val="24"/>
          <w:u w:val="single"/>
        </w:rPr>
        <w:t>realizadas em setembro / 2024 – Emergencial Vale alimentação/refeição, Emergencial CFTV e</w:t>
      </w:r>
      <w:r>
        <w:rPr>
          <w:b/>
          <w:sz w:val="24"/>
        </w:rPr>
        <w:t> </w:t>
      </w:r>
      <w:r>
        <w:rPr>
          <w:b/>
          <w:sz w:val="24"/>
          <w:u w:val="single"/>
        </w:rPr>
        <w:t>Preocupação</w:t>
      </w:r>
      <w:r>
        <w:rPr>
          <w:b/>
          <w:spacing w:val="80"/>
          <w:sz w:val="24"/>
          <w:u w:val="single"/>
        </w:rPr>
        <w:t> </w:t>
      </w:r>
      <w:r>
        <w:rPr>
          <w:b/>
          <w:sz w:val="24"/>
          <w:u w:val="single"/>
        </w:rPr>
        <w:t>com</w:t>
      </w:r>
      <w:r>
        <w:rPr>
          <w:b/>
          <w:spacing w:val="80"/>
          <w:sz w:val="24"/>
          <w:u w:val="single"/>
        </w:rPr>
        <w:t> </w:t>
      </w:r>
      <w:r>
        <w:rPr>
          <w:b/>
          <w:sz w:val="24"/>
          <w:u w:val="single"/>
        </w:rPr>
        <w:t>as</w:t>
      </w:r>
      <w:r>
        <w:rPr>
          <w:b/>
          <w:spacing w:val="80"/>
          <w:sz w:val="24"/>
          <w:u w:val="single"/>
        </w:rPr>
        <w:t> </w:t>
      </w:r>
      <w:r>
        <w:rPr>
          <w:b/>
          <w:sz w:val="24"/>
          <w:u w:val="single"/>
        </w:rPr>
        <w:t>Contratações</w:t>
      </w:r>
      <w:r>
        <w:rPr>
          <w:b/>
          <w:spacing w:val="80"/>
          <w:sz w:val="24"/>
          <w:u w:val="single"/>
        </w:rPr>
        <w:t> </w:t>
      </w:r>
      <w:r>
        <w:rPr>
          <w:b/>
          <w:sz w:val="24"/>
          <w:u w:val="single"/>
        </w:rPr>
        <w:t>em</w:t>
      </w:r>
      <w:r>
        <w:rPr>
          <w:b/>
          <w:spacing w:val="80"/>
          <w:sz w:val="24"/>
          <w:u w:val="single"/>
        </w:rPr>
        <w:t> </w:t>
      </w:r>
      <w:r>
        <w:rPr>
          <w:b/>
          <w:sz w:val="24"/>
          <w:u w:val="single"/>
        </w:rPr>
        <w:t>caráter</w:t>
      </w:r>
      <w:r>
        <w:rPr>
          <w:b/>
          <w:spacing w:val="80"/>
          <w:sz w:val="24"/>
          <w:u w:val="single"/>
        </w:rPr>
        <w:t> </w:t>
      </w:r>
      <w:r>
        <w:rPr>
          <w:b/>
          <w:sz w:val="24"/>
          <w:u w:val="single"/>
        </w:rPr>
        <w:t>emergencial</w:t>
      </w:r>
      <w:r>
        <w:rPr>
          <w:b/>
          <w:spacing w:val="80"/>
          <w:sz w:val="24"/>
          <w:u w:val="single"/>
        </w:rPr>
        <w:t> </w:t>
      </w:r>
      <w:r>
        <w:rPr>
          <w:b/>
          <w:sz w:val="24"/>
          <w:u w:val="single"/>
        </w:rPr>
        <w:t>-</w:t>
      </w:r>
      <w:r>
        <w:rPr>
          <w:b/>
          <w:spacing w:val="80"/>
          <w:sz w:val="24"/>
          <w:u w:val="single"/>
        </w:rPr>
        <w:t> </w:t>
      </w:r>
      <w:r>
        <w:rPr>
          <w:b/>
          <w:sz w:val="24"/>
          <w:u w:val="single"/>
        </w:rPr>
        <w:t>PCA</w:t>
      </w:r>
      <w:r>
        <w:rPr>
          <w:b/>
          <w:spacing w:val="79"/>
          <w:sz w:val="24"/>
          <w:u w:val="single"/>
        </w:rPr>
        <w:t> </w:t>
      </w:r>
      <w:r>
        <w:rPr>
          <w:b/>
          <w:sz w:val="24"/>
          <w:u w:val="single"/>
        </w:rPr>
        <w:t>-</w:t>
      </w:r>
      <w:r>
        <w:rPr>
          <w:b/>
          <w:spacing w:val="80"/>
          <w:sz w:val="24"/>
        </w:rPr>
        <w:t> </w:t>
      </w:r>
      <w:r>
        <w:rPr>
          <w:sz w:val="24"/>
        </w:rPr>
        <w:t>A</w:t>
      </w:r>
      <w:r>
        <w:rPr>
          <w:spacing w:val="80"/>
          <w:sz w:val="24"/>
        </w:rPr>
        <w:t> </w:t>
      </w:r>
      <w:r>
        <w:rPr>
          <w:sz w:val="24"/>
        </w:rPr>
        <w:t>DIREXE,</w:t>
      </w:r>
      <w:r>
        <w:rPr>
          <w:spacing w:val="80"/>
          <w:sz w:val="24"/>
        </w:rPr>
        <w:t> </w:t>
      </w:r>
      <w:r>
        <w:rPr>
          <w:sz w:val="24"/>
        </w:rPr>
        <w:t>através</w:t>
      </w:r>
      <w:r>
        <w:rPr>
          <w:spacing w:val="80"/>
          <w:sz w:val="24"/>
        </w:rPr>
        <w:t> </w:t>
      </w:r>
      <w:r>
        <w:rPr>
          <w:sz w:val="24"/>
        </w:rPr>
        <w:t>do</w:t>
      </w:r>
    </w:p>
    <w:p>
      <w:pPr>
        <w:spacing w:after="0"/>
        <w:jc w:val="both"/>
        <w:rPr>
          <w:sz w:val="24"/>
        </w:rPr>
        <w:sectPr>
          <w:pgSz w:w="11900" w:h="16840"/>
          <w:pgMar w:header="0" w:footer="181" w:top="500" w:bottom="380" w:left="566" w:right="566"/>
        </w:sectPr>
      </w:pPr>
    </w:p>
    <w:p>
      <w:pPr>
        <w:pStyle w:val="BodyText"/>
        <w:spacing w:before="60"/>
        <w:ind w:right="240"/>
        <w:jc w:val="both"/>
      </w:pPr>
      <w:r>
        <w:rPr/>
        <w:t>Comunicado nº 6/2026/DIREXE-CDC, informou que Diante da recomendação do Conselho de Administração, o PCA 2026 foi submetido novamente as áreas visando consolidar as informações solicitadas pelo colegiado. Em relação a planilha consolidada, a mesma será encaminhada para aprovação do CONSAD em sua reunião de maio/2026.</w:t>
      </w:r>
    </w:p>
    <w:p>
      <w:pPr>
        <w:pStyle w:val="BodyText"/>
        <w:spacing w:before="113"/>
        <w:ind w:right="241"/>
        <w:jc w:val="both"/>
      </w:pPr>
      <w:r>
        <w:rPr/>
        <w:t>O Conselho reitera a pendência quanto ao ajuste do Plano de Contratações</w:t>
      </w:r>
      <w:r>
        <w:rPr>
          <w:spacing w:val="-4"/>
        </w:rPr>
        <w:t> </w:t>
      </w:r>
      <w:r>
        <w:rPr/>
        <w:t>Anual - PCA</w:t>
      </w:r>
      <w:r>
        <w:rPr>
          <w:spacing w:val="-4"/>
        </w:rPr>
        <w:t> </w:t>
      </w:r>
      <w:r>
        <w:rPr/>
        <w:t>pelas áreas ainda faltantes, CODGEP e CODFIN, bem como a necessidade de alinhamento com o Plano de Negócios da CDC, apesar do que foi tratado na última reunião. Ressalta que tal situação tem refletido nos problemas relacionados às contratações da Companhia, evidenciados pelas recorrentes contratações emergenciais e pelos reconhecimentos de dívidas.</w:t>
      </w:r>
    </w:p>
    <w:p>
      <w:pPr>
        <w:pStyle w:val="BodyText"/>
        <w:spacing w:before="227"/>
        <w:ind w:left="0"/>
      </w:pPr>
    </w:p>
    <w:p>
      <w:pPr>
        <w:spacing w:before="1"/>
        <w:ind w:left="242" w:right="244" w:firstLine="0"/>
        <w:jc w:val="both"/>
        <w:rPr>
          <w:sz w:val="24"/>
        </w:rPr>
      </w:pPr>
      <w:r>
        <w:rPr>
          <w:b/>
          <w:sz w:val="24"/>
          <w:u w:val="single"/>
        </w:rPr>
        <w:t>Análise do Balancete e acompanhamento mensal dos resultados econômicos – financeiros – janeiro /</w:t>
      </w:r>
      <w:r>
        <w:rPr>
          <w:b/>
          <w:sz w:val="24"/>
        </w:rPr>
        <w:t> </w:t>
      </w:r>
      <w:r>
        <w:rPr>
          <w:b/>
          <w:sz w:val="24"/>
          <w:u w:val="single"/>
        </w:rPr>
        <w:t>2026 – Auto de Infração ANTAQ -</w:t>
      </w:r>
      <w:r>
        <w:rPr>
          <w:b/>
          <w:sz w:val="24"/>
        </w:rPr>
        <w:t> </w:t>
      </w:r>
      <w:r>
        <w:rPr>
          <w:sz w:val="24"/>
        </w:rPr>
        <w:t>A DIREXE, através do Comunicado nº 6/2026/DIREXE-CDC, informou</w:t>
      </w:r>
      <w:r>
        <w:rPr>
          <w:spacing w:val="-3"/>
          <w:sz w:val="24"/>
        </w:rPr>
        <w:t> </w:t>
      </w:r>
      <w:r>
        <w:rPr>
          <w:sz w:val="24"/>
        </w:rPr>
        <w:t>que</w:t>
      </w:r>
      <w:r>
        <w:rPr>
          <w:spacing w:val="-3"/>
          <w:sz w:val="24"/>
        </w:rPr>
        <w:t> </w:t>
      </w:r>
      <w:r>
        <w:rPr>
          <w:sz w:val="24"/>
        </w:rPr>
        <w:t>já</w:t>
      </w:r>
      <w:r>
        <w:rPr>
          <w:spacing w:val="-3"/>
          <w:sz w:val="24"/>
        </w:rPr>
        <w:t> </w:t>
      </w:r>
      <w:r>
        <w:rPr>
          <w:sz w:val="24"/>
        </w:rPr>
        <w:t>iniciou</w:t>
      </w:r>
      <w:r>
        <w:rPr>
          <w:spacing w:val="-3"/>
          <w:sz w:val="24"/>
        </w:rPr>
        <w:t> </w:t>
      </w:r>
      <w:r>
        <w:rPr>
          <w:sz w:val="24"/>
        </w:rPr>
        <w:t>os</w:t>
      </w:r>
      <w:r>
        <w:rPr>
          <w:spacing w:val="-3"/>
          <w:sz w:val="24"/>
        </w:rPr>
        <w:t> </w:t>
      </w:r>
      <w:r>
        <w:rPr>
          <w:sz w:val="24"/>
        </w:rPr>
        <w:t>trabalhos</w:t>
      </w:r>
      <w:r>
        <w:rPr>
          <w:spacing w:val="-3"/>
          <w:sz w:val="24"/>
        </w:rPr>
        <w:t> </w:t>
      </w:r>
      <w:r>
        <w:rPr>
          <w:sz w:val="24"/>
        </w:rPr>
        <w:t>em</w:t>
      </w:r>
      <w:r>
        <w:rPr>
          <w:spacing w:val="-3"/>
          <w:sz w:val="24"/>
        </w:rPr>
        <w:t> </w:t>
      </w:r>
      <w:r>
        <w:rPr>
          <w:sz w:val="24"/>
        </w:rPr>
        <w:t>relação</w:t>
      </w:r>
      <w:r>
        <w:rPr>
          <w:spacing w:val="-3"/>
          <w:sz w:val="24"/>
        </w:rPr>
        <w:t> </w:t>
      </w:r>
      <w:r>
        <w:rPr>
          <w:sz w:val="24"/>
        </w:rPr>
        <w:t>à</w:t>
      </w:r>
      <w:r>
        <w:rPr>
          <w:spacing w:val="-3"/>
          <w:sz w:val="24"/>
        </w:rPr>
        <w:t> </w:t>
      </w:r>
      <w:r>
        <w:rPr>
          <w:sz w:val="24"/>
        </w:rPr>
        <w:t>criação</w:t>
      </w:r>
      <w:r>
        <w:rPr>
          <w:spacing w:val="-3"/>
          <w:sz w:val="24"/>
        </w:rPr>
        <w:t> </w:t>
      </w:r>
      <w:r>
        <w:rPr>
          <w:sz w:val="24"/>
        </w:rPr>
        <w:t>da</w:t>
      </w:r>
      <w:r>
        <w:rPr>
          <w:spacing w:val="-3"/>
          <w:sz w:val="24"/>
        </w:rPr>
        <w:t> </w:t>
      </w:r>
      <w:r>
        <w:rPr>
          <w:sz w:val="24"/>
        </w:rPr>
        <w:t>corregedoria,</w:t>
      </w:r>
      <w:r>
        <w:rPr>
          <w:spacing w:val="-3"/>
          <w:sz w:val="24"/>
        </w:rPr>
        <w:t> </w:t>
      </w:r>
      <w:r>
        <w:rPr>
          <w:sz w:val="24"/>
        </w:rPr>
        <w:t>estando</w:t>
      </w:r>
      <w:r>
        <w:rPr>
          <w:spacing w:val="-3"/>
          <w:sz w:val="24"/>
        </w:rPr>
        <w:t> </w:t>
      </w:r>
      <w:r>
        <w:rPr>
          <w:sz w:val="24"/>
        </w:rPr>
        <w:t>sob</w:t>
      </w:r>
      <w:r>
        <w:rPr>
          <w:spacing w:val="-3"/>
          <w:sz w:val="24"/>
        </w:rPr>
        <w:t> </w:t>
      </w:r>
      <w:r>
        <w:rPr>
          <w:sz w:val="24"/>
        </w:rPr>
        <w:t>responsabilidade</w:t>
      </w:r>
      <w:r>
        <w:rPr>
          <w:spacing w:val="-3"/>
          <w:sz w:val="24"/>
        </w:rPr>
        <w:t> </w:t>
      </w:r>
      <w:r>
        <w:rPr>
          <w:sz w:val="24"/>
        </w:rPr>
        <w:t>do Gabinete da Presidência, o andamento da referida solicitação.</w:t>
      </w:r>
    </w:p>
    <w:p>
      <w:pPr>
        <w:pStyle w:val="BodyText"/>
        <w:spacing w:before="112"/>
        <w:jc w:val="both"/>
      </w:pPr>
      <w:r>
        <w:rPr/>
        <w:t>O</w:t>
      </w:r>
      <w:r>
        <w:rPr>
          <w:spacing w:val="-10"/>
        </w:rPr>
        <w:t> </w:t>
      </w:r>
      <w:r>
        <w:rPr/>
        <w:t>Conselho</w:t>
      </w:r>
      <w:r>
        <w:rPr>
          <w:spacing w:val="-10"/>
        </w:rPr>
        <w:t> </w:t>
      </w:r>
      <w:r>
        <w:rPr/>
        <w:t>acompanhará</w:t>
      </w:r>
      <w:r>
        <w:rPr>
          <w:spacing w:val="-10"/>
        </w:rPr>
        <w:t> </w:t>
      </w:r>
      <w:r>
        <w:rPr/>
        <w:t>o</w:t>
      </w:r>
      <w:r>
        <w:rPr>
          <w:spacing w:val="-9"/>
        </w:rPr>
        <w:t> </w:t>
      </w:r>
      <w:r>
        <w:rPr>
          <w:spacing w:val="-2"/>
        </w:rPr>
        <w:t>assunto.</w:t>
      </w:r>
    </w:p>
    <w:p>
      <w:pPr>
        <w:pStyle w:val="BodyText"/>
        <w:spacing w:before="235"/>
        <w:ind w:left="0"/>
      </w:pPr>
    </w:p>
    <w:p>
      <w:pPr>
        <w:spacing w:before="0"/>
        <w:ind w:left="242" w:right="243" w:firstLine="0"/>
        <w:jc w:val="both"/>
        <w:rPr>
          <w:sz w:val="24"/>
        </w:rPr>
      </w:pPr>
      <w:r>
        <w:rPr>
          <w:b/>
          <w:sz w:val="24"/>
          <w:u w:val="single"/>
        </w:rPr>
        <w:t>Atas da 2540ª a 2542ª Reuniões Ordinárias e 95ª e 96ª Reuniões Extraordinárias da DIREXE,</w:t>
      </w:r>
      <w:r>
        <w:rPr>
          <w:b/>
          <w:sz w:val="24"/>
        </w:rPr>
        <w:t> </w:t>
      </w:r>
      <w:r>
        <w:rPr>
          <w:b/>
          <w:sz w:val="24"/>
          <w:u w:val="single"/>
        </w:rPr>
        <w:t>realizadas em março e abril/2026 – Contratações emergenciais e Reconhecimento de dívidas -</w:t>
      </w:r>
      <w:r>
        <w:rPr>
          <w:b/>
          <w:sz w:val="24"/>
        </w:rPr>
        <w:t> </w:t>
      </w:r>
      <w:r>
        <w:rPr>
          <w:sz w:val="24"/>
        </w:rPr>
        <w:t>A DIREXE,</w:t>
      </w:r>
      <w:r>
        <w:rPr>
          <w:spacing w:val="-3"/>
          <w:sz w:val="24"/>
        </w:rPr>
        <w:t> </w:t>
      </w:r>
      <w:r>
        <w:rPr>
          <w:sz w:val="24"/>
        </w:rPr>
        <w:t>através</w:t>
      </w:r>
      <w:r>
        <w:rPr>
          <w:spacing w:val="-3"/>
          <w:sz w:val="24"/>
        </w:rPr>
        <w:t> </w:t>
      </w:r>
      <w:r>
        <w:rPr>
          <w:sz w:val="24"/>
        </w:rPr>
        <w:t>do</w:t>
      </w:r>
      <w:r>
        <w:rPr>
          <w:spacing w:val="-2"/>
          <w:sz w:val="24"/>
        </w:rPr>
        <w:t> </w:t>
      </w:r>
      <w:r>
        <w:rPr>
          <w:sz w:val="24"/>
        </w:rPr>
        <w:t>Comunicado</w:t>
      </w:r>
      <w:r>
        <w:rPr>
          <w:spacing w:val="-2"/>
          <w:sz w:val="24"/>
        </w:rPr>
        <w:t> </w:t>
      </w:r>
      <w:r>
        <w:rPr>
          <w:sz w:val="24"/>
        </w:rPr>
        <w:t>nº</w:t>
      </w:r>
      <w:r>
        <w:rPr>
          <w:spacing w:val="-3"/>
          <w:sz w:val="24"/>
        </w:rPr>
        <w:t> </w:t>
      </w:r>
      <w:r>
        <w:rPr>
          <w:sz w:val="24"/>
        </w:rPr>
        <w:t>6/2026/DIREXE-CDC,</w:t>
      </w:r>
      <w:r>
        <w:rPr>
          <w:spacing w:val="-2"/>
          <w:sz w:val="24"/>
        </w:rPr>
        <w:t> </w:t>
      </w:r>
      <w:r>
        <w:rPr>
          <w:sz w:val="24"/>
        </w:rPr>
        <w:t>encaminhou,</w:t>
      </w:r>
      <w:r>
        <w:rPr>
          <w:spacing w:val="-2"/>
          <w:sz w:val="24"/>
        </w:rPr>
        <w:t> </w:t>
      </w:r>
      <w:r>
        <w:rPr>
          <w:sz w:val="24"/>
        </w:rPr>
        <w:t>para</w:t>
      </w:r>
      <w:r>
        <w:rPr>
          <w:spacing w:val="-3"/>
          <w:sz w:val="24"/>
        </w:rPr>
        <w:t> </w:t>
      </w:r>
      <w:r>
        <w:rPr>
          <w:sz w:val="24"/>
        </w:rPr>
        <w:t>conhecimento</w:t>
      </w:r>
      <w:r>
        <w:rPr>
          <w:spacing w:val="-2"/>
          <w:sz w:val="24"/>
        </w:rPr>
        <w:t> </w:t>
      </w:r>
      <w:r>
        <w:rPr>
          <w:sz w:val="24"/>
        </w:rPr>
        <w:t>do</w:t>
      </w:r>
      <w:r>
        <w:rPr>
          <w:spacing w:val="-2"/>
          <w:sz w:val="24"/>
        </w:rPr>
        <w:t> </w:t>
      </w:r>
      <w:r>
        <w:rPr>
          <w:sz w:val="24"/>
        </w:rPr>
        <w:t>Conselho Fiscal,</w:t>
      </w:r>
      <w:r>
        <w:rPr>
          <w:spacing w:val="-9"/>
          <w:sz w:val="24"/>
        </w:rPr>
        <w:t> </w:t>
      </w:r>
      <w:r>
        <w:rPr>
          <w:sz w:val="24"/>
        </w:rPr>
        <w:t>planilha</w:t>
      </w:r>
      <w:r>
        <w:rPr>
          <w:spacing w:val="-9"/>
          <w:sz w:val="24"/>
        </w:rPr>
        <w:t> </w:t>
      </w:r>
      <w:r>
        <w:rPr>
          <w:sz w:val="24"/>
        </w:rPr>
        <w:t>contendo</w:t>
      </w:r>
      <w:r>
        <w:rPr>
          <w:spacing w:val="-9"/>
          <w:sz w:val="24"/>
        </w:rPr>
        <w:t> </w:t>
      </w:r>
      <w:r>
        <w:rPr>
          <w:sz w:val="24"/>
        </w:rPr>
        <w:t>os</w:t>
      </w:r>
      <w:r>
        <w:rPr>
          <w:spacing w:val="-9"/>
          <w:sz w:val="24"/>
        </w:rPr>
        <w:t> </w:t>
      </w:r>
      <w:r>
        <w:rPr>
          <w:sz w:val="24"/>
        </w:rPr>
        <w:t>contratos</w:t>
      </w:r>
      <w:r>
        <w:rPr>
          <w:spacing w:val="-9"/>
          <w:sz w:val="24"/>
        </w:rPr>
        <w:t> </w:t>
      </w:r>
      <w:r>
        <w:rPr>
          <w:sz w:val="24"/>
        </w:rPr>
        <w:t>emergenciais</w:t>
      </w:r>
      <w:r>
        <w:rPr>
          <w:spacing w:val="-9"/>
          <w:sz w:val="24"/>
        </w:rPr>
        <w:t> </w:t>
      </w:r>
      <w:r>
        <w:rPr>
          <w:sz w:val="24"/>
        </w:rPr>
        <w:t>firmados</w:t>
      </w:r>
      <w:r>
        <w:rPr>
          <w:spacing w:val="-9"/>
          <w:sz w:val="24"/>
        </w:rPr>
        <w:t> </w:t>
      </w:r>
      <w:r>
        <w:rPr>
          <w:sz w:val="24"/>
        </w:rPr>
        <w:t>recentemente,</w:t>
      </w:r>
      <w:r>
        <w:rPr>
          <w:spacing w:val="-9"/>
          <w:sz w:val="24"/>
        </w:rPr>
        <w:t> </w:t>
      </w:r>
      <w:r>
        <w:rPr>
          <w:sz w:val="24"/>
        </w:rPr>
        <w:t>com</w:t>
      </w:r>
      <w:r>
        <w:rPr>
          <w:spacing w:val="-9"/>
          <w:sz w:val="24"/>
        </w:rPr>
        <w:t> </w:t>
      </w:r>
      <w:r>
        <w:rPr>
          <w:sz w:val="24"/>
        </w:rPr>
        <w:t>o</w:t>
      </w:r>
      <w:r>
        <w:rPr>
          <w:spacing w:val="-9"/>
          <w:sz w:val="24"/>
        </w:rPr>
        <w:t> </w:t>
      </w:r>
      <w:r>
        <w:rPr>
          <w:sz w:val="24"/>
        </w:rPr>
        <w:t>objetivo</w:t>
      </w:r>
      <w:r>
        <w:rPr>
          <w:spacing w:val="-9"/>
          <w:sz w:val="24"/>
        </w:rPr>
        <w:t> </w:t>
      </w:r>
      <w:r>
        <w:rPr>
          <w:sz w:val="24"/>
        </w:rPr>
        <w:t>de</w:t>
      </w:r>
      <w:r>
        <w:rPr>
          <w:spacing w:val="-9"/>
          <w:sz w:val="24"/>
        </w:rPr>
        <w:t> </w:t>
      </w:r>
      <w:r>
        <w:rPr>
          <w:sz w:val="24"/>
        </w:rPr>
        <w:t>demonstrar</w:t>
      </w:r>
      <w:r>
        <w:rPr>
          <w:spacing w:val="-9"/>
          <w:sz w:val="24"/>
        </w:rPr>
        <w:t> </w:t>
      </w:r>
      <w:r>
        <w:rPr>
          <w:sz w:val="24"/>
        </w:rPr>
        <w:t>a redução gradativa desse tipo de contratação no âmbito da Companhia.</w:t>
      </w:r>
    </w:p>
    <w:p>
      <w:pPr>
        <w:pStyle w:val="BodyText"/>
        <w:spacing w:before="228"/>
        <w:ind w:left="0"/>
      </w:pPr>
    </w:p>
    <w:p>
      <w:pPr>
        <w:pStyle w:val="BodyText"/>
        <w:ind w:right="246"/>
        <w:jc w:val="both"/>
      </w:pPr>
      <w:r>
        <w:rPr/>
        <w:t>A despeito da resposta apresentada pela DIREXE, verifica-se um significativo incremento nos reconhecimentos de dívidas, situação que enseja preocupação ainda maior do que as contratações emergenciais, na medida em que tais despesas são realizadas sem a formalização prévia de contratação. O Conselho ressalta, ainda, que foi identificada ocorrência de reconhecimento de dívida e contratação emergencial, conforme comentário constante no item 2.7 da presente ata.</w:t>
      </w:r>
    </w:p>
    <w:p>
      <w:pPr>
        <w:pStyle w:val="BodyText"/>
        <w:spacing w:before="111"/>
        <w:ind w:right="263"/>
        <w:jc w:val="both"/>
      </w:pPr>
      <w:r>
        <w:rPr/>
        <w:t>Diante disso, o Conselho solicita que a AUDINT atualize o quadro de reconhecimentos de dívidas e contratações emergenciais.</w:t>
      </w:r>
    </w:p>
    <w:p>
      <w:pPr>
        <w:pStyle w:val="BodyText"/>
        <w:spacing w:before="233"/>
        <w:ind w:left="0"/>
      </w:pPr>
    </w:p>
    <w:p>
      <w:pPr>
        <w:pStyle w:val="BodyText"/>
        <w:ind w:right="236"/>
        <w:jc w:val="both"/>
      </w:pPr>
      <w:r>
        <w:rPr>
          <w:b/>
          <w:u w:val="single"/>
        </w:rPr>
        <w:t>Atas das 2525ª a 2528ª Reuniões Ordinárias e 90ª Reunião Extraordinária da DIREXE, realizadas</w:t>
      </w:r>
      <w:r>
        <w:rPr>
          <w:b/>
        </w:rPr>
        <w:t> </w:t>
      </w:r>
      <w:r>
        <w:rPr>
          <w:b/>
          <w:u w:val="single"/>
        </w:rPr>
        <w:t>em novembro e dezembro de 2025 - Consultoria Tributária Estratégica -</w:t>
      </w:r>
      <w:r>
        <w:rPr>
          <w:b/>
        </w:rPr>
        <w:t> </w:t>
      </w:r>
      <w:r>
        <w:rPr/>
        <w:t>A DIREXE, através do Comunicado nº 6/2026/DIREXE-CDC, informou que a contratação do escritório especializado em consultoria</w:t>
      </w:r>
      <w:r>
        <w:rPr>
          <w:spacing w:val="-2"/>
        </w:rPr>
        <w:t> </w:t>
      </w:r>
      <w:r>
        <w:rPr/>
        <w:t>tributária</w:t>
      </w:r>
      <w:r>
        <w:rPr>
          <w:spacing w:val="-2"/>
        </w:rPr>
        <w:t> </w:t>
      </w:r>
      <w:r>
        <w:rPr/>
        <w:t>estratégica</w:t>
      </w:r>
      <w:r>
        <w:rPr>
          <w:spacing w:val="-2"/>
        </w:rPr>
        <w:t> </w:t>
      </w:r>
      <w:r>
        <w:rPr/>
        <w:t>foi</w:t>
      </w:r>
      <w:r>
        <w:rPr>
          <w:spacing w:val="-2"/>
        </w:rPr>
        <w:t> </w:t>
      </w:r>
      <w:r>
        <w:rPr/>
        <w:t>formalizada</w:t>
      </w:r>
      <w:r>
        <w:rPr>
          <w:spacing w:val="-2"/>
        </w:rPr>
        <w:t> </w:t>
      </w:r>
      <w:r>
        <w:rPr/>
        <w:t>mediante</w:t>
      </w:r>
      <w:r>
        <w:rPr>
          <w:spacing w:val="-2"/>
        </w:rPr>
        <w:t> </w:t>
      </w:r>
      <w:r>
        <w:rPr/>
        <w:t>inexigibilidade</w:t>
      </w:r>
      <w:r>
        <w:rPr>
          <w:spacing w:val="-2"/>
        </w:rPr>
        <w:t> </w:t>
      </w:r>
      <w:r>
        <w:rPr/>
        <w:t>de</w:t>
      </w:r>
      <w:r>
        <w:rPr>
          <w:spacing w:val="-2"/>
        </w:rPr>
        <w:t> </w:t>
      </w:r>
      <w:r>
        <w:rPr/>
        <w:t>licitação,</w:t>
      </w:r>
      <w:r>
        <w:rPr>
          <w:spacing w:val="-2"/>
        </w:rPr>
        <w:t> </w:t>
      </w:r>
      <w:r>
        <w:rPr/>
        <w:t>com</w:t>
      </w:r>
      <w:r>
        <w:rPr>
          <w:spacing w:val="-2"/>
        </w:rPr>
        <w:t> </w:t>
      </w:r>
      <w:r>
        <w:rPr/>
        <w:t>fundamento</w:t>
      </w:r>
      <w:r>
        <w:rPr>
          <w:spacing w:val="-2"/>
        </w:rPr>
        <w:t> </w:t>
      </w:r>
      <w:r>
        <w:rPr/>
        <w:t>no art. 30, inciso II, alíneas "b", "c" e "e", da Lei nº 13.303/2016, em razão da notória especialização do escritório e da singularidade da matéria — que envolve tese jurídica de elevada complexidade sobre o reenquadramento</w:t>
      </w:r>
      <w:r>
        <w:rPr>
          <w:spacing w:val="-5"/>
        </w:rPr>
        <w:t> </w:t>
      </w:r>
      <w:r>
        <w:rPr/>
        <w:t>do</w:t>
      </w:r>
      <w:r>
        <w:rPr>
          <w:spacing w:val="-5"/>
        </w:rPr>
        <w:t> </w:t>
      </w:r>
      <w:r>
        <w:rPr/>
        <w:t>regime</w:t>
      </w:r>
      <w:r>
        <w:rPr>
          <w:spacing w:val="-5"/>
        </w:rPr>
        <w:t> </w:t>
      </w:r>
      <w:r>
        <w:rPr/>
        <w:t>de</w:t>
      </w:r>
      <w:r>
        <w:rPr>
          <w:spacing w:val="-5"/>
        </w:rPr>
        <w:t> </w:t>
      </w:r>
      <w:r>
        <w:rPr/>
        <w:t>apuração</w:t>
      </w:r>
      <w:r>
        <w:rPr>
          <w:spacing w:val="-5"/>
        </w:rPr>
        <w:t> </w:t>
      </w:r>
      <w:r>
        <w:rPr/>
        <w:t>do</w:t>
      </w:r>
      <w:r>
        <w:rPr>
          <w:spacing w:val="-5"/>
        </w:rPr>
        <w:t> </w:t>
      </w:r>
      <w:r>
        <w:rPr/>
        <w:t>PIS/COFINS</w:t>
      </w:r>
      <w:r>
        <w:rPr>
          <w:spacing w:val="-5"/>
        </w:rPr>
        <w:t> </w:t>
      </w:r>
      <w:r>
        <w:rPr/>
        <w:t>da</w:t>
      </w:r>
      <w:r>
        <w:rPr>
          <w:spacing w:val="-5"/>
        </w:rPr>
        <w:t> </w:t>
      </w:r>
      <w:r>
        <w:rPr/>
        <w:t>CDC,</w:t>
      </w:r>
      <w:r>
        <w:rPr>
          <w:spacing w:val="-5"/>
        </w:rPr>
        <w:t> </w:t>
      </w:r>
      <w:r>
        <w:rPr/>
        <w:t>do</w:t>
      </w:r>
      <w:r>
        <w:rPr>
          <w:spacing w:val="-5"/>
        </w:rPr>
        <w:t> </w:t>
      </w:r>
      <w:r>
        <w:rPr/>
        <w:t>regime</w:t>
      </w:r>
      <w:r>
        <w:rPr>
          <w:spacing w:val="-5"/>
        </w:rPr>
        <w:t> </w:t>
      </w:r>
      <w:r>
        <w:rPr/>
        <w:t>não</w:t>
      </w:r>
      <w:r>
        <w:rPr>
          <w:spacing w:val="-5"/>
        </w:rPr>
        <w:t> </w:t>
      </w:r>
      <w:r>
        <w:rPr/>
        <w:t>cumulativo</w:t>
      </w:r>
      <w:r>
        <w:rPr>
          <w:spacing w:val="-5"/>
        </w:rPr>
        <w:t> </w:t>
      </w:r>
      <w:r>
        <w:rPr/>
        <w:t>(9,25%)</w:t>
      </w:r>
      <w:r>
        <w:rPr>
          <w:spacing w:val="-5"/>
        </w:rPr>
        <w:t> </w:t>
      </w:r>
      <w:r>
        <w:rPr/>
        <w:t>para o cumulativo (3,65%), com plausibilidade jurídica reconhecida em precedentes do Supremo Tribunal Federal.</w:t>
      </w:r>
      <w:r>
        <w:rPr>
          <w:spacing w:val="-6"/>
        </w:rPr>
        <w:t> </w:t>
      </w:r>
      <w:r>
        <w:rPr/>
        <w:t>A</w:t>
      </w:r>
      <w:r>
        <w:rPr>
          <w:spacing w:val="-6"/>
        </w:rPr>
        <w:t> </w:t>
      </w:r>
      <w:r>
        <w:rPr/>
        <w:t>contratação abrange, ainda, o reconhecimento dos efeitos da imunidade tributária no âmbito do IBS e da CBS, criados pela Reforma Tributária (EC nº 132/2023). O valor contratual de R$ 2.796.788,20 corresponde à estimativa máxima de honorários, calculada sobre o benefício econômico projetado de R$ 18.645.254,69, ao percentual de 15%. Contudo, o pagamento está integralmente condicionado ao êxito da demanda — ou seja, somente haverá desembolso efetivo caso haja resultado favorável e concreto para a Companhia,</w:t>
      </w:r>
      <w:r>
        <w:rPr>
          <w:spacing w:val="-8"/>
        </w:rPr>
        <w:t> </w:t>
      </w:r>
      <w:r>
        <w:rPr/>
        <w:t>seja</w:t>
      </w:r>
      <w:r>
        <w:rPr>
          <w:spacing w:val="-8"/>
        </w:rPr>
        <w:t> </w:t>
      </w:r>
      <w:r>
        <w:rPr/>
        <w:t>por</w:t>
      </w:r>
      <w:r>
        <w:rPr>
          <w:spacing w:val="-8"/>
        </w:rPr>
        <w:t> </w:t>
      </w:r>
      <w:r>
        <w:rPr/>
        <w:t>via</w:t>
      </w:r>
      <w:r>
        <w:rPr>
          <w:spacing w:val="-8"/>
        </w:rPr>
        <w:t> </w:t>
      </w:r>
      <w:r>
        <w:rPr/>
        <w:t>judicial</w:t>
      </w:r>
      <w:r>
        <w:rPr>
          <w:spacing w:val="-8"/>
        </w:rPr>
        <w:t> </w:t>
      </w:r>
      <w:r>
        <w:rPr/>
        <w:t>ou</w:t>
      </w:r>
      <w:r>
        <w:rPr>
          <w:spacing w:val="-8"/>
        </w:rPr>
        <w:t> </w:t>
      </w:r>
      <w:r>
        <w:rPr/>
        <w:t>administrativa.</w:t>
      </w:r>
      <w:r>
        <w:rPr>
          <w:spacing w:val="-8"/>
        </w:rPr>
        <w:t> </w:t>
      </w:r>
      <w:r>
        <w:rPr/>
        <w:t>Não</w:t>
      </w:r>
      <w:r>
        <w:rPr>
          <w:spacing w:val="-8"/>
        </w:rPr>
        <w:t> </w:t>
      </w:r>
      <w:r>
        <w:rPr/>
        <w:t>há</w:t>
      </w:r>
      <w:r>
        <w:rPr>
          <w:spacing w:val="-8"/>
        </w:rPr>
        <w:t> </w:t>
      </w:r>
      <w:r>
        <w:rPr/>
        <w:t>pagamento</w:t>
      </w:r>
      <w:r>
        <w:rPr>
          <w:spacing w:val="-8"/>
        </w:rPr>
        <w:t> </w:t>
      </w:r>
      <w:r>
        <w:rPr/>
        <w:t>antecipado</w:t>
      </w:r>
      <w:r>
        <w:rPr>
          <w:spacing w:val="-8"/>
        </w:rPr>
        <w:t> </w:t>
      </w:r>
      <w:r>
        <w:rPr/>
        <w:t>nem</w:t>
      </w:r>
      <w:r>
        <w:rPr>
          <w:spacing w:val="-8"/>
        </w:rPr>
        <w:t> </w:t>
      </w:r>
      <w:r>
        <w:rPr/>
        <w:t>por</w:t>
      </w:r>
      <w:r>
        <w:rPr>
          <w:spacing w:val="-8"/>
        </w:rPr>
        <w:t> </w:t>
      </w:r>
      <w:r>
        <w:rPr/>
        <w:t>etapa</w:t>
      </w:r>
      <w:r>
        <w:rPr>
          <w:spacing w:val="-8"/>
        </w:rPr>
        <w:t> </w:t>
      </w:r>
      <w:r>
        <w:rPr/>
        <w:t>processual intermediária.</w:t>
      </w:r>
      <w:r>
        <w:rPr>
          <w:spacing w:val="-2"/>
        </w:rPr>
        <w:t> </w:t>
      </w:r>
      <w:r>
        <w:rPr/>
        <w:t>Esse</w:t>
      </w:r>
      <w:r>
        <w:rPr>
          <w:spacing w:val="-2"/>
        </w:rPr>
        <w:t> </w:t>
      </w:r>
      <w:r>
        <w:rPr/>
        <w:t>modelo</w:t>
      </w:r>
      <w:r>
        <w:rPr>
          <w:spacing w:val="-2"/>
        </w:rPr>
        <w:t> </w:t>
      </w:r>
      <w:r>
        <w:rPr/>
        <w:t>de</w:t>
      </w:r>
      <w:r>
        <w:rPr>
          <w:spacing w:val="-2"/>
        </w:rPr>
        <w:t> </w:t>
      </w:r>
      <w:r>
        <w:rPr/>
        <w:t>remuneração</w:t>
      </w:r>
      <w:r>
        <w:rPr>
          <w:spacing w:val="-2"/>
        </w:rPr>
        <w:t> </w:t>
      </w:r>
      <w:r>
        <w:rPr/>
        <w:t>por</w:t>
      </w:r>
      <w:r>
        <w:rPr>
          <w:spacing w:val="-2"/>
        </w:rPr>
        <w:t> </w:t>
      </w:r>
      <w:r>
        <w:rPr/>
        <w:t>êxito</w:t>
      </w:r>
      <w:r>
        <w:rPr>
          <w:spacing w:val="-2"/>
        </w:rPr>
        <w:t> </w:t>
      </w:r>
      <w:r>
        <w:rPr/>
        <w:t>é</w:t>
      </w:r>
      <w:r>
        <w:rPr>
          <w:spacing w:val="-1"/>
        </w:rPr>
        <w:t> </w:t>
      </w:r>
      <w:r>
        <w:rPr/>
        <w:t>expressamente</w:t>
      </w:r>
      <w:r>
        <w:rPr>
          <w:spacing w:val="-1"/>
        </w:rPr>
        <w:t> </w:t>
      </w:r>
      <w:r>
        <w:rPr/>
        <w:t>reconhecido</w:t>
      </w:r>
      <w:r>
        <w:rPr>
          <w:spacing w:val="-1"/>
        </w:rPr>
        <w:t> </w:t>
      </w:r>
      <w:r>
        <w:rPr/>
        <w:t>como</w:t>
      </w:r>
      <w:r>
        <w:rPr>
          <w:spacing w:val="-1"/>
        </w:rPr>
        <w:t> </w:t>
      </w:r>
      <w:r>
        <w:rPr/>
        <w:t>válido</w:t>
      </w:r>
      <w:r>
        <w:rPr>
          <w:spacing w:val="-1"/>
        </w:rPr>
        <w:t> </w:t>
      </w:r>
      <w:r>
        <w:rPr/>
        <w:t>pelo</w:t>
      </w:r>
      <w:r>
        <w:rPr>
          <w:spacing w:val="-1"/>
        </w:rPr>
        <w:t> </w:t>
      </w:r>
      <w:r>
        <w:rPr/>
        <w:t>TCU e</w:t>
      </w:r>
      <w:r>
        <w:rPr>
          <w:spacing w:val="-6"/>
        </w:rPr>
        <w:t> </w:t>
      </w:r>
      <w:r>
        <w:rPr/>
        <w:t>pelos</w:t>
      </w:r>
      <w:r>
        <w:rPr>
          <w:spacing w:val="-6"/>
        </w:rPr>
        <w:t> </w:t>
      </w:r>
      <w:r>
        <w:rPr/>
        <w:t>Tribunais</w:t>
      </w:r>
      <w:r>
        <w:rPr>
          <w:spacing w:val="-6"/>
        </w:rPr>
        <w:t> </w:t>
      </w:r>
      <w:r>
        <w:rPr/>
        <w:t>de</w:t>
      </w:r>
      <w:r>
        <w:rPr>
          <w:spacing w:val="-6"/>
        </w:rPr>
        <w:t> </w:t>
      </w:r>
      <w:r>
        <w:rPr/>
        <w:t>Contas</w:t>
      </w:r>
      <w:r>
        <w:rPr>
          <w:spacing w:val="-6"/>
        </w:rPr>
        <w:t> </w:t>
      </w:r>
      <w:r>
        <w:rPr/>
        <w:t>Estaduais,</w:t>
      </w:r>
      <w:r>
        <w:rPr>
          <w:spacing w:val="-6"/>
        </w:rPr>
        <w:t> </w:t>
      </w:r>
      <w:r>
        <w:rPr/>
        <w:t>desde</w:t>
      </w:r>
      <w:r>
        <w:rPr>
          <w:spacing w:val="-6"/>
        </w:rPr>
        <w:t> </w:t>
      </w:r>
      <w:r>
        <w:rPr/>
        <w:t>que</w:t>
      </w:r>
      <w:r>
        <w:rPr>
          <w:spacing w:val="-6"/>
        </w:rPr>
        <w:t> </w:t>
      </w:r>
      <w:r>
        <w:rPr/>
        <w:t>acompanhado</w:t>
      </w:r>
      <w:r>
        <w:rPr>
          <w:spacing w:val="-6"/>
        </w:rPr>
        <w:t> </w:t>
      </w:r>
      <w:r>
        <w:rPr/>
        <w:t>de</w:t>
      </w:r>
      <w:r>
        <w:rPr>
          <w:spacing w:val="-6"/>
        </w:rPr>
        <w:t> </w:t>
      </w:r>
      <w:r>
        <w:rPr/>
        <w:t>estimativa</w:t>
      </w:r>
      <w:r>
        <w:rPr>
          <w:spacing w:val="-6"/>
        </w:rPr>
        <w:t> </w:t>
      </w:r>
      <w:r>
        <w:rPr/>
        <w:t>prévia</w:t>
      </w:r>
      <w:r>
        <w:rPr>
          <w:spacing w:val="-6"/>
        </w:rPr>
        <w:t> </w:t>
      </w:r>
      <w:r>
        <w:rPr/>
        <w:t>do</w:t>
      </w:r>
      <w:r>
        <w:rPr>
          <w:spacing w:val="-6"/>
        </w:rPr>
        <w:t> </w:t>
      </w:r>
      <w:r>
        <w:rPr/>
        <w:t>benefício,</w:t>
      </w:r>
      <w:r>
        <w:rPr>
          <w:spacing w:val="-6"/>
        </w:rPr>
        <w:t> </w:t>
      </w:r>
      <w:r>
        <w:rPr/>
        <w:t>o</w:t>
      </w:r>
      <w:r>
        <w:rPr>
          <w:spacing w:val="-6"/>
        </w:rPr>
        <w:t> </w:t>
      </w:r>
      <w:r>
        <w:rPr/>
        <w:t>que</w:t>
      </w:r>
      <w:r>
        <w:rPr>
          <w:spacing w:val="-6"/>
        </w:rPr>
        <w:t> </w:t>
      </w:r>
      <w:r>
        <w:rPr/>
        <w:t>foi devidamente cumprido na instrução processual, conforme Parecer Jurídico - CDC nº 259/2025. Quanto ao marco caracterizador do êxito, o contrato prevê que o pagamento está vinculado ao ingresso efetivo dos recursos nos cofres da Companhia ou à concretização do aproveitamento fiscal, não se considerando para esse</w:t>
      </w:r>
      <w:r>
        <w:rPr>
          <w:spacing w:val="-6"/>
        </w:rPr>
        <w:t> </w:t>
      </w:r>
      <w:r>
        <w:rPr/>
        <w:t>fim</w:t>
      </w:r>
      <w:r>
        <w:rPr>
          <w:spacing w:val="-6"/>
        </w:rPr>
        <w:t> </w:t>
      </w:r>
      <w:r>
        <w:rPr/>
        <w:t>a</w:t>
      </w:r>
      <w:r>
        <w:rPr>
          <w:spacing w:val="-6"/>
        </w:rPr>
        <w:t> </w:t>
      </w:r>
      <w:r>
        <w:rPr/>
        <w:t>mera</w:t>
      </w:r>
      <w:r>
        <w:rPr>
          <w:spacing w:val="-6"/>
        </w:rPr>
        <w:t> </w:t>
      </w:r>
      <w:r>
        <w:rPr/>
        <w:t>obtenção</w:t>
      </w:r>
      <w:r>
        <w:rPr>
          <w:spacing w:val="-6"/>
        </w:rPr>
        <w:t> </w:t>
      </w:r>
      <w:r>
        <w:rPr/>
        <w:t>de</w:t>
      </w:r>
      <w:r>
        <w:rPr>
          <w:spacing w:val="-6"/>
        </w:rPr>
        <w:t> </w:t>
      </w:r>
      <w:r>
        <w:rPr/>
        <w:t>medida</w:t>
      </w:r>
      <w:r>
        <w:rPr>
          <w:spacing w:val="-6"/>
        </w:rPr>
        <w:t> </w:t>
      </w:r>
      <w:r>
        <w:rPr/>
        <w:t>liminar</w:t>
      </w:r>
      <w:r>
        <w:rPr>
          <w:spacing w:val="-6"/>
        </w:rPr>
        <w:t> </w:t>
      </w:r>
      <w:r>
        <w:rPr/>
        <w:t>ou</w:t>
      </w:r>
      <w:r>
        <w:rPr>
          <w:spacing w:val="-6"/>
        </w:rPr>
        <w:t> </w:t>
      </w:r>
      <w:r>
        <w:rPr/>
        <w:t>a</w:t>
      </w:r>
      <w:r>
        <w:rPr>
          <w:spacing w:val="-6"/>
        </w:rPr>
        <w:t> </w:t>
      </w:r>
      <w:r>
        <w:rPr/>
        <w:t>conclusão</w:t>
      </w:r>
      <w:r>
        <w:rPr>
          <w:spacing w:val="-6"/>
        </w:rPr>
        <w:t> </w:t>
      </w:r>
      <w:r>
        <w:rPr/>
        <w:t>de</w:t>
      </w:r>
      <w:r>
        <w:rPr>
          <w:spacing w:val="-6"/>
        </w:rPr>
        <w:t> </w:t>
      </w:r>
      <w:r>
        <w:rPr/>
        <w:t>fase</w:t>
      </w:r>
      <w:r>
        <w:rPr>
          <w:spacing w:val="-6"/>
        </w:rPr>
        <w:t> </w:t>
      </w:r>
      <w:r>
        <w:rPr/>
        <w:t>intermediária</w:t>
      </w:r>
      <w:r>
        <w:rPr>
          <w:spacing w:val="-6"/>
        </w:rPr>
        <w:t> </w:t>
      </w:r>
      <w:r>
        <w:rPr/>
        <w:t>do</w:t>
      </w:r>
      <w:r>
        <w:rPr>
          <w:spacing w:val="-6"/>
        </w:rPr>
        <w:t> </w:t>
      </w:r>
      <w:r>
        <w:rPr/>
        <w:t>processo.</w:t>
      </w:r>
      <w:r>
        <w:rPr>
          <w:spacing w:val="-6"/>
        </w:rPr>
        <w:t> </w:t>
      </w:r>
      <w:r>
        <w:rPr/>
        <w:t>A</w:t>
      </w:r>
      <w:r>
        <w:rPr>
          <w:spacing w:val="-6"/>
        </w:rPr>
        <w:t> </w:t>
      </w:r>
      <w:r>
        <w:rPr/>
        <w:t>contratada já apresentou seu parecer técnico-jurídico sobre a viabilidade da tese. Em razão das recentes mudanças na gestão,</w:t>
      </w:r>
      <w:r>
        <w:rPr>
          <w:spacing w:val="40"/>
        </w:rPr>
        <w:t> </w:t>
      </w:r>
      <w:r>
        <w:rPr/>
        <w:t>ainda</w:t>
      </w:r>
      <w:r>
        <w:rPr>
          <w:spacing w:val="40"/>
        </w:rPr>
        <w:t> </w:t>
      </w:r>
      <w:r>
        <w:rPr/>
        <w:t>não</w:t>
      </w:r>
      <w:r>
        <w:rPr>
          <w:spacing w:val="40"/>
        </w:rPr>
        <w:t> </w:t>
      </w:r>
      <w:r>
        <w:rPr/>
        <w:t>foi</w:t>
      </w:r>
      <w:r>
        <w:rPr>
          <w:spacing w:val="40"/>
        </w:rPr>
        <w:t> </w:t>
      </w:r>
      <w:r>
        <w:rPr/>
        <w:t>possível</w:t>
      </w:r>
      <w:r>
        <w:rPr>
          <w:spacing w:val="40"/>
        </w:rPr>
        <w:t> </w:t>
      </w:r>
      <w:r>
        <w:rPr/>
        <w:t>agendar</w:t>
      </w:r>
      <w:r>
        <w:rPr>
          <w:spacing w:val="40"/>
        </w:rPr>
        <w:t> </w:t>
      </w:r>
      <w:r>
        <w:rPr/>
        <w:t>apresentação</w:t>
      </w:r>
      <w:r>
        <w:rPr>
          <w:spacing w:val="40"/>
        </w:rPr>
        <w:t> </w:t>
      </w:r>
      <w:r>
        <w:rPr/>
        <w:t>formal</w:t>
      </w:r>
      <w:r>
        <w:rPr>
          <w:spacing w:val="40"/>
        </w:rPr>
        <w:t> </w:t>
      </w:r>
      <w:r>
        <w:rPr/>
        <w:t>à</w:t>
      </w:r>
      <w:r>
        <w:rPr>
          <w:spacing w:val="40"/>
        </w:rPr>
        <w:t> </w:t>
      </w:r>
      <w:r>
        <w:rPr/>
        <w:t>Diretoria</w:t>
      </w:r>
      <w:r>
        <w:rPr>
          <w:spacing w:val="40"/>
        </w:rPr>
        <w:t> </w:t>
      </w:r>
      <w:r>
        <w:rPr/>
        <w:t>Executiva</w:t>
      </w:r>
      <w:r>
        <w:rPr>
          <w:spacing w:val="40"/>
        </w:rPr>
        <w:t> </w:t>
      </w:r>
      <w:r>
        <w:rPr/>
        <w:t>–</w:t>
      </w:r>
      <w:r>
        <w:rPr>
          <w:spacing w:val="40"/>
        </w:rPr>
        <w:t> </w:t>
      </w:r>
      <w:r>
        <w:rPr/>
        <w:t>DIREXE,</w:t>
      </w:r>
      <w:r>
        <w:rPr>
          <w:spacing w:val="40"/>
        </w:rPr>
        <w:t> </w:t>
      </w:r>
      <w:r>
        <w:rPr/>
        <w:t>etapa</w:t>
      </w:r>
    </w:p>
    <w:p>
      <w:pPr>
        <w:pStyle w:val="BodyText"/>
        <w:spacing w:after="0"/>
        <w:jc w:val="both"/>
        <w:sectPr>
          <w:pgSz w:w="11900" w:h="16840"/>
          <w:pgMar w:header="0" w:footer="181" w:top="500" w:bottom="380" w:left="566" w:right="566"/>
        </w:sectPr>
      </w:pPr>
    </w:p>
    <w:p>
      <w:pPr>
        <w:pStyle w:val="BodyText"/>
        <w:spacing w:before="60"/>
        <w:ind w:right="241"/>
        <w:jc w:val="both"/>
      </w:pPr>
      <w:r>
        <w:rPr/>
        <w:t>necessária antes do encaminhamento ao Conselho Fiscal. Assim que realizada essa apresentação, o conteúdo será submetido ao CONFIS para conhecimento e apreciação, conforme já comunicado anteriormente.</w:t>
      </w:r>
      <w:r>
        <w:rPr>
          <w:spacing w:val="-4"/>
        </w:rPr>
        <w:t> </w:t>
      </w:r>
      <w:r>
        <w:rPr/>
        <w:t>Reitera-se</w:t>
      </w:r>
      <w:r>
        <w:rPr>
          <w:spacing w:val="-4"/>
        </w:rPr>
        <w:t> </w:t>
      </w:r>
      <w:r>
        <w:rPr/>
        <w:t>o</w:t>
      </w:r>
      <w:r>
        <w:rPr>
          <w:spacing w:val="-4"/>
        </w:rPr>
        <w:t> </w:t>
      </w:r>
      <w:r>
        <w:rPr/>
        <w:t>compromisso</w:t>
      </w:r>
      <w:r>
        <w:rPr>
          <w:spacing w:val="-4"/>
        </w:rPr>
        <w:t> </w:t>
      </w:r>
      <w:r>
        <w:rPr/>
        <w:t>assumido:</w:t>
      </w:r>
      <w:r>
        <w:rPr>
          <w:spacing w:val="-5"/>
        </w:rPr>
        <w:t> </w:t>
      </w:r>
      <w:r>
        <w:rPr/>
        <w:t>nenhuma</w:t>
      </w:r>
      <w:r>
        <w:rPr>
          <w:spacing w:val="-4"/>
        </w:rPr>
        <w:t> </w:t>
      </w:r>
      <w:r>
        <w:rPr/>
        <w:t>medida</w:t>
      </w:r>
      <w:r>
        <w:rPr>
          <w:spacing w:val="-4"/>
        </w:rPr>
        <w:t> </w:t>
      </w:r>
      <w:r>
        <w:rPr/>
        <w:t>judicial</w:t>
      </w:r>
      <w:r>
        <w:rPr>
          <w:spacing w:val="-5"/>
        </w:rPr>
        <w:t> </w:t>
      </w:r>
      <w:r>
        <w:rPr/>
        <w:t>ou</w:t>
      </w:r>
      <w:r>
        <w:rPr>
          <w:spacing w:val="-4"/>
        </w:rPr>
        <w:t> </w:t>
      </w:r>
      <w:r>
        <w:rPr/>
        <w:t>providência</w:t>
      </w:r>
      <w:r>
        <w:rPr>
          <w:spacing w:val="-4"/>
        </w:rPr>
        <w:t> </w:t>
      </w:r>
      <w:r>
        <w:rPr/>
        <w:t>concreta</w:t>
      </w:r>
      <w:r>
        <w:rPr>
          <w:spacing w:val="-4"/>
        </w:rPr>
        <w:t> </w:t>
      </w:r>
      <w:r>
        <w:rPr/>
        <w:t>será adotada sem o prévio conhecimento e consentimento do Conselho Fiscal.</w:t>
      </w:r>
    </w:p>
    <w:p>
      <w:pPr>
        <w:pStyle w:val="BodyText"/>
        <w:spacing w:before="230"/>
        <w:ind w:left="0"/>
      </w:pPr>
    </w:p>
    <w:p>
      <w:pPr>
        <w:pStyle w:val="BodyText"/>
        <w:ind w:right="249"/>
        <w:jc w:val="both"/>
      </w:pPr>
      <w:r>
        <w:rPr/>
        <w:t>O Conselho informa que continuará acompanhando o assunto e solicita que, após a apresentação à DIREXE, o tema também seja apresentado em reunião do CONFIS.</w:t>
      </w:r>
    </w:p>
    <w:p>
      <w:pPr>
        <w:pStyle w:val="BodyText"/>
        <w:spacing w:before="233"/>
        <w:ind w:left="0"/>
      </w:pPr>
    </w:p>
    <w:p>
      <w:pPr>
        <w:pStyle w:val="BodyText"/>
        <w:ind w:right="240"/>
        <w:jc w:val="both"/>
      </w:pPr>
      <w:r>
        <w:rPr>
          <w:b/>
          <w:u w:val="single"/>
        </w:rPr>
        <w:t>Atas da 2536ª a 2539ª Reuniões Ordinárias e 93ª a 94ª Reuniões Extraordinárias da DIREXE,</w:t>
      </w:r>
      <w:r>
        <w:rPr>
          <w:b/>
        </w:rPr>
        <w:t> </w:t>
      </w:r>
      <w:r>
        <w:rPr>
          <w:b/>
          <w:u w:val="single"/>
        </w:rPr>
        <w:t>realizadas em março/2026 - INDESA -</w:t>
      </w:r>
      <w:r>
        <w:rPr>
          <w:b/>
        </w:rPr>
        <w:t> </w:t>
      </w:r>
      <w:r>
        <w:rPr/>
        <w:t>A DIREXE, através do Comunicado nº 6/2026/DIREXE-CDC, informou que a controvérsia relativa ao Contrato nº 030/2012, celebrado com o Instituto de Desenvolvimento Econômico, Social e Ambiental – INDESA, encontra-se integralmente encerrada, tanto na esfera administrativa quanto na judicial, implicando na anulação do contrato e restituição de valores. Registra-se</w:t>
      </w:r>
      <w:r>
        <w:rPr>
          <w:spacing w:val="-6"/>
        </w:rPr>
        <w:t> </w:t>
      </w:r>
      <w:r>
        <w:rPr/>
        <w:t>que</w:t>
      </w:r>
      <w:r>
        <w:rPr>
          <w:spacing w:val="-6"/>
        </w:rPr>
        <w:t> </w:t>
      </w:r>
      <w:r>
        <w:rPr/>
        <w:t>o</w:t>
      </w:r>
      <w:r>
        <w:rPr>
          <w:spacing w:val="-6"/>
        </w:rPr>
        <w:t> </w:t>
      </w:r>
      <w:r>
        <w:rPr/>
        <w:t>contrato</w:t>
      </w:r>
      <w:r>
        <w:rPr>
          <w:spacing w:val="-6"/>
        </w:rPr>
        <w:t> </w:t>
      </w:r>
      <w:r>
        <w:rPr/>
        <w:t>foi</w:t>
      </w:r>
      <w:r>
        <w:rPr>
          <w:spacing w:val="-6"/>
        </w:rPr>
        <w:t> </w:t>
      </w:r>
      <w:r>
        <w:rPr/>
        <w:t>rescindido</w:t>
      </w:r>
      <w:r>
        <w:rPr>
          <w:spacing w:val="-6"/>
        </w:rPr>
        <w:t> </w:t>
      </w:r>
      <w:r>
        <w:rPr/>
        <w:t>e</w:t>
      </w:r>
      <w:r>
        <w:rPr>
          <w:spacing w:val="-6"/>
        </w:rPr>
        <w:t> </w:t>
      </w:r>
      <w:r>
        <w:rPr/>
        <w:t>declarado</w:t>
      </w:r>
      <w:r>
        <w:rPr>
          <w:spacing w:val="-6"/>
        </w:rPr>
        <w:t> </w:t>
      </w:r>
      <w:r>
        <w:rPr/>
        <w:t>nulo</w:t>
      </w:r>
      <w:r>
        <w:rPr>
          <w:spacing w:val="-6"/>
        </w:rPr>
        <w:t> </w:t>
      </w:r>
      <w:r>
        <w:rPr/>
        <w:t>administrativamente</w:t>
      </w:r>
      <w:r>
        <w:rPr>
          <w:spacing w:val="-6"/>
        </w:rPr>
        <w:t> </w:t>
      </w:r>
      <w:r>
        <w:rPr/>
        <w:t>em</w:t>
      </w:r>
      <w:r>
        <w:rPr>
          <w:spacing w:val="-6"/>
        </w:rPr>
        <w:t> </w:t>
      </w:r>
      <w:r>
        <w:rPr/>
        <w:t>2012,</w:t>
      </w:r>
      <w:r>
        <w:rPr>
          <w:spacing w:val="-6"/>
        </w:rPr>
        <w:t> </w:t>
      </w:r>
      <w:r>
        <w:rPr/>
        <w:t>após</w:t>
      </w:r>
      <w:r>
        <w:rPr>
          <w:spacing w:val="-6"/>
        </w:rPr>
        <w:t> </w:t>
      </w:r>
      <w:r>
        <w:rPr/>
        <w:t>identificação das irregularidades que comprometiam a validade do ajuste. Da análise dos autos do processo administrativo originário, não se identificou, à época, indicação expressa de encaminhamento para apuração de responsabilidade dos agentes envolvidos na contratação. Importa destacar, contudo, que procedimentos dessa natureza ordinariamente se desenvolvem em processo administrativo apartado, instaurado pelos setores competentes para tal finalidade — o que, no caso concreto, demanda verificação junto</w:t>
      </w:r>
      <w:r>
        <w:rPr>
          <w:spacing w:val="-6"/>
        </w:rPr>
        <w:t> </w:t>
      </w:r>
      <w:r>
        <w:rPr/>
        <w:t>às</w:t>
      </w:r>
      <w:r>
        <w:rPr>
          <w:spacing w:val="-6"/>
        </w:rPr>
        <w:t> </w:t>
      </w:r>
      <w:r>
        <w:rPr/>
        <w:t>áreas</w:t>
      </w:r>
      <w:r>
        <w:rPr>
          <w:spacing w:val="-6"/>
        </w:rPr>
        <w:t> </w:t>
      </w:r>
      <w:r>
        <w:rPr/>
        <w:t>responsáveis,</w:t>
      </w:r>
      <w:r>
        <w:rPr>
          <w:spacing w:val="-6"/>
        </w:rPr>
        <w:t> </w:t>
      </w:r>
      <w:r>
        <w:rPr/>
        <w:t>a</w:t>
      </w:r>
      <w:r>
        <w:rPr>
          <w:spacing w:val="-6"/>
        </w:rPr>
        <w:t> </w:t>
      </w:r>
      <w:r>
        <w:rPr/>
        <w:t>fim</w:t>
      </w:r>
      <w:r>
        <w:rPr>
          <w:spacing w:val="-6"/>
        </w:rPr>
        <w:t> </w:t>
      </w:r>
      <w:r>
        <w:rPr/>
        <w:t>de</w:t>
      </w:r>
      <w:r>
        <w:rPr>
          <w:spacing w:val="-6"/>
        </w:rPr>
        <w:t> </w:t>
      </w:r>
      <w:r>
        <w:rPr/>
        <w:t>confirmar</w:t>
      </w:r>
      <w:r>
        <w:rPr>
          <w:spacing w:val="-6"/>
        </w:rPr>
        <w:t> </w:t>
      </w:r>
      <w:r>
        <w:rPr/>
        <w:t>se</w:t>
      </w:r>
      <w:r>
        <w:rPr>
          <w:spacing w:val="-6"/>
        </w:rPr>
        <w:t> </w:t>
      </w:r>
      <w:r>
        <w:rPr/>
        <w:t>houve</w:t>
      </w:r>
      <w:r>
        <w:rPr>
          <w:spacing w:val="-6"/>
        </w:rPr>
        <w:t> </w:t>
      </w:r>
      <w:r>
        <w:rPr/>
        <w:t>ou</w:t>
      </w:r>
      <w:r>
        <w:rPr>
          <w:spacing w:val="-6"/>
        </w:rPr>
        <w:t> </w:t>
      </w:r>
      <w:r>
        <w:rPr/>
        <w:t>não</w:t>
      </w:r>
      <w:r>
        <w:rPr>
          <w:spacing w:val="-6"/>
        </w:rPr>
        <w:t> </w:t>
      </w:r>
      <w:r>
        <w:rPr/>
        <w:t>instauração</w:t>
      </w:r>
      <w:r>
        <w:rPr>
          <w:spacing w:val="-6"/>
        </w:rPr>
        <w:t> </w:t>
      </w:r>
      <w:r>
        <w:rPr/>
        <w:t>de</w:t>
      </w:r>
      <w:r>
        <w:rPr>
          <w:spacing w:val="-6"/>
        </w:rPr>
        <w:t> </w:t>
      </w:r>
      <w:r>
        <w:rPr/>
        <w:t>apuração</w:t>
      </w:r>
      <w:r>
        <w:rPr>
          <w:spacing w:val="-6"/>
        </w:rPr>
        <w:t> </w:t>
      </w:r>
      <w:r>
        <w:rPr/>
        <w:t>específica.</w:t>
      </w:r>
      <w:r>
        <w:rPr>
          <w:spacing w:val="-6"/>
        </w:rPr>
        <w:t> </w:t>
      </w:r>
      <w:r>
        <w:rPr/>
        <w:t>Quanto ao aproveitamento do relatório apresentado pela contratada, informa-se que, no curso da execução contratual, o Instituto entregou o estudo técnico previsto no objeto do contrato. Todavia, da análise dos autos do processo administrativo originário, não se verifica registro de recomendação formal para utilização do relatório produzido como base para aproveitamento de créditos previdenciários, tampouco manifestação dos colegiados competentes nesse sentido. Essa ausência, longe de configurar omissão isolada, revelasse juridicamente coerente com o próprio desfecho do processo: identificada a nulidade do contrato e promovida sua rescisão, o aproveitamento de produto técnico oriundo de ajuste declarado nulo não se apresentaria, à época, como medida razoável ou recomendável, na medida em que tal conduta poderia implicar a utilização de resultado de ato irregular para produzir efeitos na esfera fiscal e previdenciária</w:t>
      </w:r>
      <w:r>
        <w:rPr>
          <w:spacing w:val="-4"/>
        </w:rPr>
        <w:t> </w:t>
      </w:r>
      <w:r>
        <w:rPr/>
        <w:t>da</w:t>
      </w:r>
      <w:r>
        <w:rPr>
          <w:spacing w:val="-4"/>
        </w:rPr>
        <w:t> </w:t>
      </w:r>
      <w:r>
        <w:rPr/>
        <w:t>Companhia,</w:t>
      </w:r>
      <w:r>
        <w:rPr>
          <w:spacing w:val="-4"/>
        </w:rPr>
        <w:t> </w:t>
      </w:r>
      <w:r>
        <w:rPr/>
        <w:t>com</w:t>
      </w:r>
      <w:r>
        <w:rPr>
          <w:spacing w:val="-5"/>
        </w:rPr>
        <w:t> </w:t>
      </w:r>
      <w:r>
        <w:rPr/>
        <w:t>os</w:t>
      </w:r>
      <w:r>
        <w:rPr>
          <w:spacing w:val="-4"/>
        </w:rPr>
        <w:t> </w:t>
      </w:r>
      <w:r>
        <w:rPr/>
        <w:t>riscos</w:t>
      </w:r>
      <w:r>
        <w:rPr>
          <w:spacing w:val="-4"/>
        </w:rPr>
        <w:t> </w:t>
      </w:r>
      <w:r>
        <w:rPr/>
        <w:t>institucionais</w:t>
      </w:r>
      <w:r>
        <w:rPr>
          <w:spacing w:val="-4"/>
        </w:rPr>
        <w:t> </w:t>
      </w:r>
      <w:r>
        <w:rPr/>
        <w:t>e</w:t>
      </w:r>
      <w:r>
        <w:rPr>
          <w:spacing w:val="-4"/>
        </w:rPr>
        <w:t> </w:t>
      </w:r>
      <w:r>
        <w:rPr/>
        <w:t>legais</w:t>
      </w:r>
      <w:r>
        <w:rPr>
          <w:spacing w:val="-4"/>
        </w:rPr>
        <w:t> </w:t>
      </w:r>
      <w:r>
        <w:rPr/>
        <w:t>daí</w:t>
      </w:r>
      <w:r>
        <w:rPr>
          <w:spacing w:val="-4"/>
        </w:rPr>
        <w:t> </w:t>
      </w:r>
      <w:r>
        <w:rPr/>
        <w:t>decorrentes.</w:t>
      </w:r>
      <w:r>
        <w:rPr>
          <w:spacing w:val="-4"/>
        </w:rPr>
        <w:t> </w:t>
      </w:r>
      <w:r>
        <w:rPr/>
        <w:t>Nesse</w:t>
      </w:r>
      <w:r>
        <w:rPr>
          <w:spacing w:val="-4"/>
        </w:rPr>
        <w:t> </w:t>
      </w:r>
      <w:r>
        <w:rPr/>
        <w:t>sentido,</w:t>
      </w:r>
      <w:r>
        <w:rPr>
          <w:spacing w:val="-4"/>
        </w:rPr>
        <w:t> </w:t>
      </w:r>
      <w:r>
        <w:rPr/>
        <w:t>entende- se que a postura adotada pelas áreas foi tecnicamente prudente e alinhada aos princípios da legalidade e da segurança jurídica que orientam a atuação da Administração Pública.</w:t>
      </w:r>
    </w:p>
    <w:p>
      <w:pPr>
        <w:pStyle w:val="BodyText"/>
        <w:spacing w:before="78"/>
        <w:ind w:right="248"/>
        <w:jc w:val="both"/>
      </w:pPr>
      <w:r>
        <w:rPr/>
        <w:t>O Conselho recomenda que o assunto seja encaminhado para juízo de admissibilidade, com especial avaliação quanto à eventual ocorrência de prazo prescricional.</w:t>
      </w:r>
    </w:p>
    <w:p>
      <w:pPr>
        <w:pStyle w:val="BodyText"/>
        <w:spacing w:before="116"/>
        <w:ind w:right="241"/>
        <w:jc w:val="both"/>
      </w:pPr>
      <w:r>
        <w:rPr/>
        <w:t>Em relação à utilização dos valores pagos, o Conselho solicita esclarecimentos acerca do motivo pelo qual houve pagamento parcial, considerando a alegação de nulidade. Solicita, ainda, que seja informado se houve execução de serviços ou desenvolvimento de trabalhos passíveis de atual aproveitamento pela </w:t>
      </w:r>
      <w:r>
        <w:rPr>
          <w:spacing w:val="-2"/>
        </w:rPr>
        <w:t>Companhia.</w:t>
      </w:r>
    </w:p>
    <w:p>
      <w:pPr>
        <w:pStyle w:val="BodyText"/>
        <w:spacing w:before="112"/>
        <w:ind w:right="240"/>
        <w:jc w:val="both"/>
      </w:pPr>
      <w:r>
        <w:rPr/>
        <w:t>Ressalta, por fim, que a eventual nulidade contratual não invalida, por si só, o aproveitamento de parte do que foi cumprido e remunerado.</w:t>
      </w:r>
    </w:p>
    <w:p>
      <w:pPr>
        <w:pStyle w:val="BodyText"/>
        <w:spacing w:before="233"/>
        <w:ind w:left="0"/>
      </w:pPr>
    </w:p>
    <w:p>
      <w:pPr>
        <w:pStyle w:val="BodyText"/>
        <w:ind w:right="243"/>
        <w:jc w:val="both"/>
      </w:pPr>
      <w:r>
        <w:rPr>
          <w:b/>
          <w:u w:val="single"/>
        </w:rPr>
        <w:t>OUTROS ASSUNTOS – Empresa de grande porte -</w:t>
      </w:r>
      <w:r>
        <w:rPr>
          <w:b/>
        </w:rPr>
        <w:t> </w:t>
      </w:r>
      <w:r>
        <w:rPr/>
        <w:t>A DIREXE, através do Comunicado nº 6/2026/DIREXE-CDC, informou que se encontra em andamento a atualização do Estatuto Social da CDC. A</w:t>
      </w:r>
      <w:r>
        <w:rPr>
          <w:spacing w:val="-11"/>
        </w:rPr>
        <w:t> </w:t>
      </w:r>
      <w:r>
        <w:rPr/>
        <w:t>referida alteração será submetida à Diretoria Executiva e ao Conselho de</w:t>
      </w:r>
      <w:r>
        <w:rPr>
          <w:spacing w:val="-11"/>
        </w:rPr>
        <w:t> </w:t>
      </w:r>
      <w:r>
        <w:rPr/>
        <w:t>Administração, em sua reunião de maio/2026.</w:t>
      </w:r>
    </w:p>
    <w:p>
      <w:pPr>
        <w:pStyle w:val="BodyText"/>
        <w:spacing w:before="230"/>
        <w:ind w:left="0"/>
      </w:pPr>
    </w:p>
    <w:p>
      <w:pPr>
        <w:pStyle w:val="BodyText"/>
        <w:ind w:right="240"/>
        <w:jc w:val="both"/>
      </w:pPr>
      <w:r>
        <w:rPr/>
        <w:t>O Conselho informa que continuará acompanhando o assunto e reitera sua preocupação quanto ao urgente atendimento dessa obrigação.</w:t>
      </w:r>
    </w:p>
    <w:p>
      <w:pPr>
        <w:pStyle w:val="BodyText"/>
        <w:spacing w:before="233"/>
        <w:ind w:left="0"/>
      </w:pPr>
    </w:p>
    <w:p>
      <w:pPr>
        <w:pStyle w:val="Heading2"/>
        <w:ind w:right="244"/>
        <w:jc w:val="both"/>
        <w:rPr>
          <w:b w:val="0"/>
        </w:rPr>
      </w:pPr>
      <w:r>
        <w:rPr>
          <w:u w:val="single"/>
        </w:rPr>
        <w:t>Atas da 2540ª a 2542ª Reuniões Ordinárias e 95ª e 96ª Reuniões Extraordinárias da DIREXE,</w:t>
      </w:r>
      <w:r>
        <w:rPr/>
        <w:t> </w:t>
      </w:r>
      <w:r>
        <w:rPr>
          <w:u w:val="single"/>
        </w:rPr>
        <w:t>realizadas</w:t>
      </w:r>
      <w:r>
        <w:rPr>
          <w:spacing w:val="40"/>
          <w:u w:val="single"/>
        </w:rPr>
        <w:t> </w:t>
      </w:r>
      <w:r>
        <w:rPr>
          <w:u w:val="single"/>
        </w:rPr>
        <w:t>em</w:t>
      </w:r>
      <w:r>
        <w:rPr>
          <w:spacing w:val="40"/>
          <w:u w:val="single"/>
        </w:rPr>
        <w:t> </w:t>
      </w:r>
      <w:r>
        <w:rPr>
          <w:u w:val="single"/>
        </w:rPr>
        <w:t>março</w:t>
      </w:r>
      <w:r>
        <w:rPr>
          <w:spacing w:val="40"/>
          <w:u w:val="single"/>
        </w:rPr>
        <w:t> </w:t>
      </w:r>
      <w:r>
        <w:rPr>
          <w:u w:val="single"/>
        </w:rPr>
        <w:t>e</w:t>
      </w:r>
      <w:r>
        <w:rPr>
          <w:spacing w:val="40"/>
          <w:u w:val="single"/>
        </w:rPr>
        <w:t> </w:t>
      </w:r>
      <w:r>
        <w:rPr>
          <w:u w:val="single"/>
        </w:rPr>
        <w:t>abril/2026</w:t>
      </w:r>
      <w:r>
        <w:rPr>
          <w:spacing w:val="40"/>
          <w:u w:val="single"/>
        </w:rPr>
        <w:t> </w:t>
      </w:r>
      <w:r>
        <w:rPr>
          <w:u w:val="single"/>
        </w:rPr>
        <w:t>-</w:t>
      </w:r>
      <w:r>
        <w:rPr>
          <w:spacing w:val="40"/>
          <w:u w:val="single"/>
        </w:rPr>
        <w:t> </w:t>
      </w:r>
      <w:r>
        <w:rPr>
          <w:u w:val="single"/>
        </w:rPr>
        <w:t>Defensas</w:t>
      </w:r>
      <w:r>
        <w:rPr>
          <w:spacing w:val="40"/>
          <w:u w:val="single"/>
        </w:rPr>
        <w:t> </w:t>
      </w:r>
      <w:r>
        <w:rPr>
          <w:u w:val="single"/>
        </w:rPr>
        <w:t>marítimas</w:t>
      </w:r>
      <w:r>
        <w:rPr>
          <w:spacing w:val="40"/>
          <w:u w:val="single"/>
        </w:rPr>
        <w:t> </w:t>
      </w:r>
      <w:r>
        <w:rPr>
          <w:u w:val="single"/>
        </w:rPr>
        <w:t>-</w:t>
      </w:r>
      <w:r>
        <w:rPr>
          <w:spacing w:val="40"/>
        </w:rPr>
        <w:t> </w:t>
      </w:r>
      <w:r>
        <w:rPr>
          <w:b w:val="0"/>
        </w:rPr>
        <w:t>A</w:t>
      </w:r>
      <w:r>
        <w:rPr>
          <w:b w:val="0"/>
          <w:spacing w:val="39"/>
        </w:rPr>
        <w:t> </w:t>
      </w:r>
      <w:r>
        <w:rPr>
          <w:b w:val="0"/>
        </w:rPr>
        <w:t>DIREXE,</w:t>
      </w:r>
      <w:r>
        <w:rPr>
          <w:b w:val="0"/>
          <w:spacing w:val="40"/>
        </w:rPr>
        <w:t> </w:t>
      </w:r>
      <w:r>
        <w:rPr>
          <w:b w:val="0"/>
        </w:rPr>
        <w:t>através</w:t>
      </w:r>
      <w:r>
        <w:rPr>
          <w:b w:val="0"/>
          <w:spacing w:val="40"/>
        </w:rPr>
        <w:t> </w:t>
      </w:r>
      <w:r>
        <w:rPr>
          <w:b w:val="0"/>
        </w:rPr>
        <w:t>do</w:t>
      </w:r>
      <w:r>
        <w:rPr>
          <w:b w:val="0"/>
          <w:spacing w:val="40"/>
        </w:rPr>
        <w:t> </w:t>
      </w:r>
      <w:r>
        <w:rPr>
          <w:b w:val="0"/>
        </w:rPr>
        <w:t>Comunicado</w:t>
      </w:r>
      <w:r>
        <w:rPr>
          <w:b w:val="0"/>
          <w:spacing w:val="40"/>
        </w:rPr>
        <w:t> </w:t>
      </w:r>
      <w:r>
        <w:rPr>
          <w:b w:val="0"/>
        </w:rPr>
        <w:t>nº</w:t>
      </w:r>
    </w:p>
    <w:p>
      <w:pPr>
        <w:pStyle w:val="Heading2"/>
        <w:spacing w:after="0"/>
        <w:jc w:val="both"/>
        <w:rPr>
          <w:b w:val="0"/>
        </w:rPr>
        <w:sectPr>
          <w:pgSz w:w="11900" w:h="16840"/>
          <w:pgMar w:header="0" w:footer="181" w:top="500" w:bottom="380" w:left="566" w:right="566"/>
        </w:sectPr>
      </w:pPr>
    </w:p>
    <w:p>
      <w:pPr>
        <w:pStyle w:val="BodyText"/>
        <w:spacing w:before="60"/>
        <w:ind w:right="239"/>
        <w:jc w:val="both"/>
      </w:pPr>
      <w:r>
        <w:rPr/>
        <w:t>6/2026/DIREXE-CDC, informou que se em atenção ao apontamento consignado na</w:t>
      </w:r>
      <w:r>
        <w:rPr>
          <w:spacing w:val="-7"/>
        </w:rPr>
        <w:t> </w:t>
      </w:r>
      <w:r>
        <w:rPr/>
        <w:t>Ata da 2542ª Reunião Ordinária da Diretoria Executiva (DIREXE), relativamente à Decisão DIREXE nº 54/2026, que tratou da alteração do planejamento orçamentário de 2026 para viabilizar a contratação emergencial de empresa especializada para prestação de serviços de apoio técnico-operacional destinados à substituição de quatro defensas marítimas nos Berços 201 e 202 do Píer Petroleiro do Porto de Fortaleza, esta Coordenadoria Jurídica apresenta as seguintes ponderações. Conforme registrado pelo colegiado, foi externada preocupação acerca da circunstância de que os serviços teriam sido executados em fevereiro de 2026, ao passo que a deliberação da DIREXE referente à adequação orçamentária ocorreu apenas em abril de 2026, estando a formalização contratual ainda pendente à época da apreciação da matéria pelo Conselho. Sob o aspecto jurídico, a Lei nº 13.303/2016 admite, em seu art. 29, inciso XV, a contratação direta em situações emergenciais, desde que caracterizada urgência apta a ocasionar prejuízo ou comprometer a segurança de pessoas, serviços, equipamentos ou bens, restringindo-se a contratação ao estritamente necessário ao afastamento</w:t>
      </w:r>
      <w:r>
        <w:rPr>
          <w:spacing w:val="-4"/>
        </w:rPr>
        <w:t> </w:t>
      </w:r>
      <w:r>
        <w:rPr/>
        <w:t>da</w:t>
      </w:r>
      <w:r>
        <w:rPr>
          <w:spacing w:val="-4"/>
        </w:rPr>
        <w:t> </w:t>
      </w:r>
      <w:r>
        <w:rPr/>
        <w:t>situação</w:t>
      </w:r>
      <w:r>
        <w:rPr>
          <w:spacing w:val="-4"/>
        </w:rPr>
        <w:t> </w:t>
      </w:r>
      <w:r>
        <w:rPr/>
        <w:t>emergencial</w:t>
      </w:r>
      <w:r>
        <w:rPr>
          <w:spacing w:val="-4"/>
        </w:rPr>
        <w:t> </w:t>
      </w:r>
      <w:r>
        <w:rPr/>
        <w:t>e</w:t>
      </w:r>
      <w:r>
        <w:rPr>
          <w:spacing w:val="-4"/>
        </w:rPr>
        <w:t> </w:t>
      </w:r>
      <w:r>
        <w:rPr/>
        <w:t>às</w:t>
      </w:r>
      <w:r>
        <w:rPr>
          <w:spacing w:val="-4"/>
        </w:rPr>
        <w:t> </w:t>
      </w:r>
      <w:r>
        <w:rPr/>
        <w:t>parcelas</w:t>
      </w:r>
      <w:r>
        <w:rPr>
          <w:spacing w:val="-4"/>
        </w:rPr>
        <w:t> </w:t>
      </w:r>
      <w:r>
        <w:rPr/>
        <w:t>passíveis</w:t>
      </w:r>
      <w:r>
        <w:rPr>
          <w:spacing w:val="-4"/>
        </w:rPr>
        <w:t> </w:t>
      </w:r>
      <w:r>
        <w:rPr/>
        <w:t>de</w:t>
      </w:r>
      <w:r>
        <w:rPr>
          <w:spacing w:val="-4"/>
        </w:rPr>
        <w:t> </w:t>
      </w:r>
      <w:r>
        <w:rPr/>
        <w:t>conclusão</w:t>
      </w:r>
      <w:r>
        <w:rPr>
          <w:spacing w:val="-4"/>
        </w:rPr>
        <w:t> </w:t>
      </w:r>
      <w:r>
        <w:rPr/>
        <w:t>no</w:t>
      </w:r>
      <w:r>
        <w:rPr>
          <w:spacing w:val="-4"/>
        </w:rPr>
        <w:t> </w:t>
      </w:r>
      <w:r>
        <w:rPr/>
        <w:t>prazo</w:t>
      </w:r>
      <w:r>
        <w:rPr>
          <w:spacing w:val="-4"/>
        </w:rPr>
        <w:t> </w:t>
      </w:r>
      <w:r>
        <w:rPr/>
        <w:t>máximo</w:t>
      </w:r>
      <w:r>
        <w:rPr>
          <w:spacing w:val="-4"/>
        </w:rPr>
        <w:t> </w:t>
      </w:r>
      <w:r>
        <w:rPr/>
        <w:t>de</w:t>
      </w:r>
      <w:r>
        <w:rPr>
          <w:spacing w:val="-4"/>
        </w:rPr>
        <w:t> </w:t>
      </w:r>
      <w:r>
        <w:rPr/>
        <w:t>180</w:t>
      </w:r>
      <w:r>
        <w:rPr>
          <w:spacing w:val="-4"/>
        </w:rPr>
        <w:t> </w:t>
      </w:r>
      <w:r>
        <w:rPr/>
        <w:t>(cento</w:t>
      </w:r>
      <w:r>
        <w:rPr>
          <w:spacing w:val="-4"/>
        </w:rPr>
        <w:t> </w:t>
      </w:r>
      <w:r>
        <w:rPr/>
        <w:t>e oitenta) dias consecutivos e ininterruptos. A jurisprudência do Tribunal de Contas da União, a teor do Acórdão 1162/2014-TCUPlenário, de relatoria do Min. José Jorge, orienta que a contratação emergencial exige demonstração concreta da urgência, da iminência do risco e da adequação da medida adotada para afastamento do dano potencial, devendo a</w:t>
      </w:r>
      <w:r>
        <w:rPr>
          <w:spacing w:val="-10"/>
        </w:rPr>
        <w:t> </w:t>
      </w:r>
      <w:r>
        <w:rPr/>
        <w:t>Administração evidenciar que a solução implementada consistia no</w:t>
      </w:r>
      <w:r>
        <w:rPr>
          <w:spacing w:val="-1"/>
        </w:rPr>
        <w:t> </w:t>
      </w:r>
      <w:r>
        <w:rPr/>
        <w:t>meio</w:t>
      </w:r>
      <w:r>
        <w:rPr>
          <w:spacing w:val="-1"/>
        </w:rPr>
        <w:t> </w:t>
      </w:r>
      <w:r>
        <w:rPr/>
        <w:t>mais</w:t>
      </w:r>
      <w:r>
        <w:rPr>
          <w:spacing w:val="-1"/>
        </w:rPr>
        <w:t> </w:t>
      </w:r>
      <w:r>
        <w:rPr/>
        <w:t>adequado</w:t>
      </w:r>
      <w:r>
        <w:rPr>
          <w:spacing w:val="-1"/>
        </w:rPr>
        <w:t> </w:t>
      </w:r>
      <w:r>
        <w:rPr/>
        <w:t>e</w:t>
      </w:r>
      <w:r>
        <w:rPr>
          <w:spacing w:val="-1"/>
        </w:rPr>
        <w:t> </w:t>
      </w:r>
      <w:r>
        <w:rPr/>
        <w:t>eficiente</w:t>
      </w:r>
      <w:r>
        <w:rPr>
          <w:spacing w:val="-1"/>
        </w:rPr>
        <w:t> </w:t>
      </w:r>
      <w:r>
        <w:rPr/>
        <w:t>à</w:t>
      </w:r>
      <w:r>
        <w:rPr>
          <w:spacing w:val="-1"/>
        </w:rPr>
        <w:t> </w:t>
      </w:r>
      <w:r>
        <w:rPr/>
        <w:t>preservação</w:t>
      </w:r>
      <w:r>
        <w:rPr>
          <w:spacing w:val="-1"/>
        </w:rPr>
        <w:t> </w:t>
      </w:r>
      <w:r>
        <w:rPr/>
        <w:t>do</w:t>
      </w:r>
      <w:r>
        <w:rPr>
          <w:spacing w:val="-1"/>
        </w:rPr>
        <w:t> </w:t>
      </w:r>
      <w:r>
        <w:rPr/>
        <w:t>interesse</w:t>
      </w:r>
      <w:r>
        <w:rPr>
          <w:spacing w:val="-1"/>
        </w:rPr>
        <w:t> </w:t>
      </w:r>
      <w:r>
        <w:rPr/>
        <w:t>público.</w:t>
      </w:r>
      <w:r>
        <w:rPr>
          <w:spacing w:val="-1"/>
        </w:rPr>
        <w:t> </w:t>
      </w:r>
      <w:r>
        <w:rPr/>
        <w:t>Não</w:t>
      </w:r>
      <w:r>
        <w:rPr>
          <w:spacing w:val="-1"/>
        </w:rPr>
        <w:t> </w:t>
      </w:r>
      <w:r>
        <w:rPr/>
        <w:t>obstante,</w:t>
      </w:r>
      <w:r>
        <w:rPr>
          <w:spacing w:val="-1"/>
        </w:rPr>
        <w:t> </w:t>
      </w:r>
      <w:r>
        <w:rPr/>
        <w:t>conforme</w:t>
      </w:r>
      <w:r>
        <w:rPr>
          <w:spacing w:val="-1"/>
        </w:rPr>
        <w:t> </w:t>
      </w:r>
      <w:r>
        <w:rPr/>
        <w:t>consignado pelo CONFIS, a execução dos serviços teria ocorrido em momento anterior à formalização do respectivo instrumento</w:t>
      </w:r>
      <w:r>
        <w:rPr>
          <w:spacing w:val="-3"/>
        </w:rPr>
        <w:t> </w:t>
      </w:r>
      <w:r>
        <w:rPr/>
        <w:t>contratual,</w:t>
      </w:r>
      <w:r>
        <w:rPr>
          <w:spacing w:val="-3"/>
        </w:rPr>
        <w:t> </w:t>
      </w:r>
      <w:r>
        <w:rPr/>
        <w:t>circunstância</w:t>
      </w:r>
      <w:r>
        <w:rPr>
          <w:spacing w:val="-3"/>
        </w:rPr>
        <w:t> </w:t>
      </w:r>
      <w:r>
        <w:rPr/>
        <w:t>que,</w:t>
      </w:r>
      <w:r>
        <w:rPr>
          <w:spacing w:val="-3"/>
        </w:rPr>
        <w:t> </w:t>
      </w:r>
      <w:r>
        <w:rPr/>
        <w:t>com</w:t>
      </w:r>
      <w:r>
        <w:rPr>
          <w:spacing w:val="-3"/>
        </w:rPr>
        <w:t> </w:t>
      </w:r>
      <w:r>
        <w:rPr/>
        <w:t>base</w:t>
      </w:r>
      <w:r>
        <w:rPr>
          <w:spacing w:val="-3"/>
        </w:rPr>
        <w:t> </w:t>
      </w:r>
      <w:r>
        <w:rPr/>
        <w:t>na</w:t>
      </w:r>
      <w:r>
        <w:rPr>
          <w:spacing w:val="-3"/>
        </w:rPr>
        <w:t> </w:t>
      </w:r>
      <w:r>
        <w:rPr/>
        <w:t>jurisprudência</w:t>
      </w:r>
      <w:r>
        <w:rPr>
          <w:spacing w:val="-3"/>
        </w:rPr>
        <w:t> </w:t>
      </w:r>
      <w:r>
        <w:rPr/>
        <w:t>do</w:t>
      </w:r>
      <w:r>
        <w:rPr>
          <w:spacing w:val="-3"/>
        </w:rPr>
        <w:t> </w:t>
      </w:r>
      <w:r>
        <w:rPr/>
        <w:t>Tribunal</w:t>
      </w:r>
      <w:r>
        <w:rPr>
          <w:spacing w:val="-3"/>
        </w:rPr>
        <w:t> </w:t>
      </w:r>
      <w:r>
        <w:rPr/>
        <w:t>de</w:t>
      </w:r>
      <w:r>
        <w:rPr>
          <w:spacing w:val="-3"/>
        </w:rPr>
        <w:t> </w:t>
      </w:r>
      <w:r>
        <w:rPr/>
        <w:t>Contas</w:t>
      </w:r>
      <w:r>
        <w:rPr>
          <w:spacing w:val="-3"/>
        </w:rPr>
        <w:t> </w:t>
      </w:r>
      <w:r>
        <w:rPr/>
        <w:t>da</w:t>
      </w:r>
      <w:r>
        <w:rPr>
          <w:spacing w:val="-3"/>
        </w:rPr>
        <w:t> </w:t>
      </w:r>
      <w:r>
        <w:rPr/>
        <w:t>União,</w:t>
      </w:r>
      <w:r>
        <w:rPr>
          <w:spacing w:val="-3"/>
        </w:rPr>
        <w:t> </w:t>
      </w:r>
      <w:r>
        <w:rPr/>
        <w:t>nos termos dos Acórdãos 3083/2007-Primeira Câmara e 282/2008-Plenário, recomenda cautela quanto à observância da regularidade procedimental da contratação, considerando a relevância da formalização contratual para fins de transparência, controle e segurança jurídica dos ajustes administrativos, inclusive nas hipóteses de contratação emergencial. Por outro lado, a própria jurisprudência do TCU admite, em situações</w:t>
      </w:r>
      <w:r>
        <w:rPr>
          <w:spacing w:val="-3"/>
        </w:rPr>
        <w:t> </w:t>
      </w:r>
      <w:r>
        <w:rPr/>
        <w:t>específicas,</w:t>
      </w:r>
      <w:r>
        <w:rPr>
          <w:spacing w:val="-3"/>
        </w:rPr>
        <w:t> </w:t>
      </w:r>
      <w:r>
        <w:rPr/>
        <w:t>o</w:t>
      </w:r>
      <w:r>
        <w:rPr>
          <w:spacing w:val="-3"/>
        </w:rPr>
        <w:t> </w:t>
      </w:r>
      <w:r>
        <w:rPr/>
        <w:t>saneamento</w:t>
      </w:r>
      <w:r>
        <w:rPr>
          <w:spacing w:val="-3"/>
        </w:rPr>
        <w:t> </w:t>
      </w:r>
      <w:r>
        <w:rPr/>
        <w:t>de</w:t>
      </w:r>
      <w:r>
        <w:rPr>
          <w:spacing w:val="-3"/>
        </w:rPr>
        <w:t> </w:t>
      </w:r>
      <w:r>
        <w:rPr/>
        <w:t>vícios</w:t>
      </w:r>
      <w:r>
        <w:rPr>
          <w:spacing w:val="-3"/>
        </w:rPr>
        <w:t> </w:t>
      </w:r>
      <w:r>
        <w:rPr/>
        <w:t>formais</w:t>
      </w:r>
      <w:r>
        <w:rPr>
          <w:spacing w:val="-3"/>
        </w:rPr>
        <w:t> </w:t>
      </w:r>
      <w:r>
        <w:rPr/>
        <w:t>relacionados</w:t>
      </w:r>
      <w:r>
        <w:rPr>
          <w:spacing w:val="-3"/>
        </w:rPr>
        <w:t> </w:t>
      </w:r>
      <w:r>
        <w:rPr/>
        <w:t>à</w:t>
      </w:r>
      <w:r>
        <w:rPr>
          <w:spacing w:val="-3"/>
        </w:rPr>
        <w:t> </w:t>
      </w:r>
      <w:r>
        <w:rPr/>
        <w:t>ausência</w:t>
      </w:r>
      <w:r>
        <w:rPr>
          <w:spacing w:val="-3"/>
        </w:rPr>
        <w:t> </w:t>
      </w:r>
      <w:r>
        <w:rPr/>
        <w:t>ou</w:t>
      </w:r>
      <w:r>
        <w:rPr>
          <w:spacing w:val="-3"/>
        </w:rPr>
        <w:t> </w:t>
      </w:r>
      <w:r>
        <w:rPr/>
        <w:t>ao</w:t>
      </w:r>
      <w:r>
        <w:rPr>
          <w:spacing w:val="-3"/>
        </w:rPr>
        <w:t> </w:t>
      </w:r>
      <w:r>
        <w:rPr/>
        <w:t>atraso</w:t>
      </w:r>
      <w:r>
        <w:rPr>
          <w:spacing w:val="-3"/>
        </w:rPr>
        <w:t> </w:t>
      </w:r>
      <w:r>
        <w:rPr/>
        <w:t>na</w:t>
      </w:r>
      <w:r>
        <w:rPr>
          <w:spacing w:val="-3"/>
        </w:rPr>
        <w:t> </w:t>
      </w:r>
      <w:r>
        <w:rPr/>
        <w:t>formalização contratual,</w:t>
      </w:r>
      <w:r>
        <w:rPr>
          <w:spacing w:val="-2"/>
        </w:rPr>
        <w:t> </w:t>
      </w:r>
      <w:r>
        <w:rPr/>
        <w:t>especialmente</w:t>
      </w:r>
      <w:r>
        <w:rPr>
          <w:spacing w:val="-2"/>
        </w:rPr>
        <w:t> </w:t>
      </w:r>
      <w:r>
        <w:rPr/>
        <w:t>quando</w:t>
      </w:r>
      <w:r>
        <w:rPr>
          <w:spacing w:val="-2"/>
        </w:rPr>
        <w:t> </w:t>
      </w:r>
      <w:r>
        <w:rPr/>
        <w:t>inexistente</w:t>
      </w:r>
      <w:r>
        <w:rPr>
          <w:spacing w:val="-2"/>
        </w:rPr>
        <w:t> </w:t>
      </w:r>
      <w:r>
        <w:rPr/>
        <w:t>prejuízo</w:t>
      </w:r>
      <w:r>
        <w:rPr>
          <w:spacing w:val="-2"/>
        </w:rPr>
        <w:t> </w:t>
      </w:r>
      <w:r>
        <w:rPr/>
        <w:t>ao</w:t>
      </w:r>
      <w:r>
        <w:rPr>
          <w:spacing w:val="-2"/>
        </w:rPr>
        <w:t> </w:t>
      </w:r>
      <w:r>
        <w:rPr/>
        <w:t>erário</w:t>
      </w:r>
      <w:r>
        <w:rPr>
          <w:spacing w:val="-2"/>
        </w:rPr>
        <w:t> </w:t>
      </w:r>
      <w:r>
        <w:rPr/>
        <w:t>ou</w:t>
      </w:r>
      <w:r>
        <w:rPr>
          <w:spacing w:val="-2"/>
        </w:rPr>
        <w:t> </w:t>
      </w:r>
      <w:r>
        <w:rPr/>
        <w:t>outras</w:t>
      </w:r>
      <w:r>
        <w:rPr>
          <w:spacing w:val="-2"/>
        </w:rPr>
        <w:t> </w:t>
      </w:r>
      <w:r>
        <w:rPr/>
        <w:t>irregularidades</w:t>
      </w:r>
      <w:r>
        <w:rPr>
          <w:spacing w:val="-2"/>
        </w:rPr>
        <w:t> </w:t>
      </w:r>
      <w:r>
        <w:rPr/>
        <w:t>graves</w:t>
      </w:r>
      <w:r>
        <w:rPr>
          <w:spacing w:val="-2"/>
        </w:rPr>
        <w:t> </w:t>
      </w:r>
      <w:r>
        <w:rPr/>
        <w:t>associadas à execução do objeto, conforme entendimento firmado no Acórdão nº 1604/2008-Plenário. Veja-se: Enunciado No caso das obras rodoviárias emergenciais do PETSE, a ausência de instrumento de contrato, desde que reste comprovada a não-ocorrência de atos lesivos ao Erário, é irregularidade que permite a continuidade da obra mediante o saneamento do vício original. Voto: 25. Quanto à irregularidade atinente ao início das obras sem cobertura contratual, permito-me dissentir do posicionamento da unidade técnica, em essencial porque as poucas decisões deste Tribunal que envolveram apenação dos gestores por conta dessa falha, no âmbito do programa emergencial em destaque, [...], levaram em consideração, também, outras irregularidades devidamente comprovadas, ou referiram-se a casos em que as obras foram executadas sem instrumento contratual durante praticamente todo o período de 180 dias estipulado no art. 24, inciso IV, do referido dispositivo legal, diferentemente da hipótese em tela. 26. A jurisprudência dominante do Tribunal aponta para o saneamento da ocorrência com a formalização posterior da avença [...],</w:t>
      </w:r>
      <w:r>
        <w:rPr>
          <w:spacing w:val="-4"/>
        </w:rPr>
        <w:t> </w:t>
      </w:r>
      <w:r>
        <w:rPr/>
        <w:t>quando</w:t>
      </w:r>
      <w:r>
        <w:rPr>
          <w:spacing w:val="-4"/>
        </w:rPr>
        <w:t> </w:t>
      </w:r>
      <w:r>
        <w:rPr/>
        <w:t>não</w:t>
      </w:r>
      <w:r>
        <w:rPr>
          <w:spacing w:val="-4"/>
        </w:rPr>
        <w:t> </w:t>
      </w:r>
      <w:r>
        <w:rPr/>
        <w:t>se</w:t>
      </w:r>
      <w:r>
        <w:rPr>
          <w:spacing w:val="-4"/>
        </w:rPr>
        <w:t> </w:t>
      </w:r>
      <w:r>
        <w:rPr/>
        <w:t>tenha</w:t>
      </w:r>
      <w:r>
        <w:rPr>
          <w:spacing w:val="-4"/>
        </w:rPr>
        <w:t> </w:t>
      </w:r>
      <w:r>
        <w:rPr/>
        <w:t>verificado,</w:t>
      </w:r>
      <w:r>
        <w:rPr>
          <w:spacing w:val="-4"/>
        </w:rPr>
        <w:t> </w:t>
      </w:r>
      <w:r>
        <w:rPr/>
        <w:t>nos</w:t>
      </w:r>
      <w:r>
        <w:rPr>
          <w:spacing w:val="-4"/>
        </w:rPr>
        <w:t> </w:t>
      </w:r>
      <w:r>
        <w:rPr/>
        <w:t>processos</w:t>
      </w:r>
      <w:r>
        <w:rPr>
          <w:spacing w:val="-4"/>
        </w:rPr>
        <w:t> </w:t>
      </w:r>
      <w:r>
        <w:rPr/>
        <w:t>relativos</w:t>
      </w:r>
      <w:r>
        <w:rPr>
          <w:spacing w:val="-4"/>
        </w:rPr>
        <w:t> </w:t>
      </w:r>
      <w:r>
        <w:rPr/>
        <w:t>ao</w:t>
      </w:r>
      <w:r>
        <w:rPr>
          <w:spacing w:val="-4"/>
        </w:rPr>
        <w:t> </w:t>
      </w:r>
      <w:r>
        <w:rPr/>
        <w:t>referido</w:t>
      </w:r>
      <w:r>
        <w:rPr>
          <w:spacing w:val="-4"/>
        </w:rPr>
        <w:t> </w:t>
      </w:r>
      <w:r>
        <w:rPr/>
        <w:t>programa,</w:t>
      </w:r>
      <w:r>
        <w:rPr>
          <w:spacing w:val="-4"/>
        </w:rPr>
        <w:t> </w:t>
      </w:r>
      <w:r>
        <w:rPr/>
        <w:t>as</w:t>
      </w:r>
      <w:r>
        <w:rPr>
          <w:spacing w:val="-4"/>
        </w:rPr>
        <w:t> </w:t>
      </w:r>
      <w:r>
        <w:rPr/>
        <w:t>circunstâncias</w:t>
      </w:r>
      <w:r>
        <w:rPr>
          <w:spacing w:val="-4"/>
        </w:rPr>
        <w:t> </w:t>
      </w:r>
      <w:r>
        <w:rPr/>
        <w:t>fáticas expostas acima e, mais importante, não se tenha configurado prejuízo ao erário decorrente do atraso na assinatura do ajuste. 27. Desse modo, ciente de que não foram assinaladas ocorrências de natureza grave que pudessem ocasionar prejuízos ao erário, e adotando a mesma linha de entendimento firmada em processos similares já apreciados por esta Casa, julgo que o encaminhamento da matéria prescinde de apenação</w:t>
      </w:r>
      <w:r>
        <w:rPr>
          <w:spacing w:val="-8"/>
        </w:rPr>
        <w:t> </w:t>
      </w:r>
      <w:r>
        <w:rPr/>
        <w:t>dos</w:t>
      </w:r>
      <w:r>
        <w:rPr>
          <w:spacing w:val="-8"/>
        </w:rPr>
        <w:t> </w:t>
      </w:r>
      <w:r>
        <w:rPr/>
        <w:t>responsáveis</w:t>
      </w:r>
      <w:r>
        <w:rPr>
          <w:spacing w:val="-8"/>
        </w:rPr>
        <w:t> </w:t>
      </w:r>
      <w:r>
        <w:rPr/>
        <w:t>em</w:t>
      </w:r>
      <w:r>
        <w:rPr>
          <w:spacing w:val="-8"/>
        </w:rPr>
        <w:t> </w:t>
      </w:r>
      <w:r>
        <w:rPr/>
        <w:t>decorrência</w:t>
      </w:r>
      <w:r>
        <w:rPr>
          <w:spacing w:val="-8"/>
        </w:rPr>
        <w:t> </w:t>
      </w:r>
      <w:r>
        <w:rPr/>
        <w:t>da</w:t>
      </w:r>
      <w:r>
        <w:rPr>
          <w:spacing w:val="-8"/>
        </w:rPr>
        <w:t> </w:t>
      </w:r>
      <w:r>
        <w:rPr/>
        <w:t>irregularidade</w:t>
      </w:r>
      <w:r>
        <w:rPr>
          <w:spacing w:val="-8"/>
        </w:rPr>
        <w:t> </w:t>
      </w:r>
      <w:r>
        <w:rPr/>
        <w:t>concernente</w:t>
      </w:r>
      <w:r>
        <w:rPr>
          <w:spacing w:val="-8"/>
        </w:rPr>
        <w:t> </w:t>
      </w:r>
      <w:r>
        <w:rPr/>
        <w:t>ao</w:t>
      </w:r>
      <w:r>
        <w:rPr>
          <w:spacing w:val="-8"/>
        </w:rPr>
        <w:t> </w:t>
      </w:r>
      <w:r>
        <w:rPr/>
        <w:t>atraso</w:t>
      </w:r>
      <w:r>
        <w:rPr>
          <w:spacing w:val="-8"/>
        </w:rPr>
        <w:t> </w:t>
      </w:r>
      <w:r>
        <w:rPr/>
        <w:t>na</w:t>
      </w:r>
      <w:r>
        <w:rPr>
          <w:spacing w:val="-8"/>
        </w:rPr>
        <w:t> </w:t>
      </w:r>
      <w:r>
        <w:rPr/>
        <w:t>lavratura</w:t>
      </w:r>
      <w:r>
        <w:rPr>
          <w:spacing w:val="-8"/>
        </w:rPr>
        <w:t> </w:t>
      </w:r>
      <w:r>
        <w:rPr/>
        <w:t>do</w:t>
      </w:r>
      <w:r>
        <w:rPr>
          <w:spacing w:val="-8"/>
        </w:rPr>
        <w:t> </w:t>
      </w:r>
      <w:r>
        <w:rPr/>
        <w:t>contrato. (TCU,</w:t>
      </w:r>
      <w:r>
        <w:rPr>
          <w:spacing w:val="-13"/>
        </w:rPr>
        <w:t> </w:t>
      </w:r>
      <w:r>
        <w:rPr/>
        <w:t>Acórdão</w:t>
      </w:r>
      <w:r>
        <w:rPr>
          <w:spacing w:val="-2"/>
        </w:rPr>
        <w:t> </w:t>
      </w:r>
      <w:r>
        <w:rPr/>
        <w:t>1604/2008-Plenário,</w:t>
      </w:r>
      <w:r>
        <w:rPr>
          <w:spacing w:val="-2"/>
        </w:rPr>
        <w:t> </w:t>
      </w:r>
      <w:r>
        <w:rPr/>
        <w:t>rel.</w:t>
      </w:r>
      <w:r>
        <w:rPr>
          <w:spacing w:val="-2"/>
        </w:rPr>
        <w:t> </w:t>
      </w:r>
      <w:r>
        <w:rPr/>
        <w:t>Min.</w:t>
      </w:r>
      <w:r>
        <w:rPr>
          <w:spacing w:val="-13"/>
        </w:rPr>
        <w:t> </w:t>
      </w:r>
      <w:r>
        <w:rPr/>
        <w:t>Augusto</w:t>
      </w:r>
      <w:r>
        <w:rPr>
          <w:spacing w:val="-2"/>
        </w:rPr>
        <w:t> </w:t>
      </w:r>
      <w:r>
        <w:rPr/>
        <w:t>Nardes)</w:t>
      </w:r>
      <w:r>
        <w:rPr>
          <w:spacing w:val="-3"/>
        </w:rPr>
        <w:t> </w:t>
      </w:r>
      <w:r>
        <w:rPr/>
        <w:t>Dessa</w:t>
      </w:r>
      <w:r>
        <w:rPr>
          <w:spacing w:val="-2"/>
        </w:rPr>
        <w:t> </w:t>
      </w:r>
      <w:r>
        <w:rPr/>
        <w:t>forma,</w:t>
      </w:r>
      <w:r>
        <w:rPr>
          <w:spacing w:val="-2"/>
        </w:rPr>
        <w:t> </w:t>
      </w:r>
      <w:r>
        <w:rPr/>
        <w:t>considerando</w:t>
      </w:r>
      <w:r>
        <w:rPr>
          <w:spacing w:val="-2"/>
        </w:rPr>
        <w:t> </w:t>
      </w:r>
      <w:r>
        <w:rPr/>
        <w:t>as</w:t>
      </w:r>
      <w:r>
        <w:rPr>
          <w:spacing w:val="-2"/>
        </w:rPr>
        <w:t> </w:t>
      </w:r>
      <w:r>
        <w:rPr/>
        <w:t>informações constantes do apontamento do Conselho Fiscal no sentido de que os serviços já teriam sido executados em fevereiro de 2026, revela-se destituída de utilidade prática eventual formalização contratual superveniente, impondo-se, por outro lado, a avaliação administrativa acerca da efetiva prestação do serviço, da compatibilidade</w:t>
      </w:r>
      <w:r>
        <w:rPr>
          <w:spacing w:val="-6"/>
        </w:rPr>
        <w:t> </w:t>
      </w:r>
      <w:r>
        <w:rPr/>
        <w:t>dos</w:t>
      </w:r>
      <w:r>
        <w:rPr>
          <w:spacing w:val="-6"/>
        </w:rPr>
        <w:t> </w:t>
      </w:r>
      <w:r>
        <w:rPr/>
        <w:t>valores</w:t>
      </w:r>
      <w:r>
        <w:rPr>
          <w:spacing w:val="-6"/>
        </w:rPr>
        <w:t> </w:t>
      </w:r>
      <w:r>
        <w:rPr/>
        <w:t>praticados</w:t>
      </w:r>
      <w:r>
        <w:rPr>
          <w:spacing w:val="-6"/>
        </w:rPr>
        <w:t> </w:t>
      </w:r>
      <w:r>
        <w:rPr/>
        <w:t>com</w:t>
      </w:r>
      <w:r>
        <w:rPr>
          <w:spacing w:val="-6"/>
        </w:rPr>
        <w:t> </w:t>
      </w:r>
      <w:r>
        <w:rPr/>
        <w:t>os</w:t>
      </w:r>
      <w:r>
        <w:rPr>
          <w:spacing w:val="-6"/>
        </w:rPr>
        <w:t> </w:t>
      </w:r>
      <w:r>
        <w:rPr/>
        <w:t>parâmetros</w:t>
      </w:r>
      <w:r>
        <w:rPr>
          <w:spacing w:val="-6"/>
        </w:rPr>
        <w:t> </w:t>
      </w:r>
      <w:r>
        <w:rPr/>
        <w:t>de</w:t>
      </w:r>
      <w:r>
        <w:rPr>
          <w:spacing w:val="-6"/>
        </w:rPr>
        <w:t> </w:t>
      </w:r>
      <w:r>
        <w:rPr/>
        <w:t>mercado</w:t>
      </w:r>
      <w:r>
        <w:rPr>
          <w:spacing w:val="-6"/>
        </w:rPr>
        <w:t> </w:t>
      </w:r>
      <w:r>
        <w:rPr/>
        <w:t>e</w:t>
      </w:r>
      <w:r>
        <w:rPr>
          <w:spacing w:val="-6"/>
        </w:rPr>
        <w:t> </w:t>
      </w:r>
      <w:r>
        <w:rPr/>
        <w:t>da</w:t>
      </w:r>
      <w:r>
        <w:rPr>
          <w:spacing w:val="-6"/>
        </w:rPr>
        <w:t> </w:t>
      </w:r>
      <w:r>
        <w:rPr/>
        <w:t>observância</w:t>
      </w:r>
      <w:r>
        <w:rPr>
          <w:spacing w:val="-6"/>
        </w:rPr>
        <w:t> </w:t>
      </w:r>
      <w:r>
        <w:rPr/>
        <w:t>das</w:t>
      </w:r>
      <w:r>
        <w:rPr>
          <w:spacing w:val="-6"/>
        </w:rPr>
        <w:t> </w:t>
      </w:r>
      <w:r>
        <w:rPr/>
        <w:t>condicionantes legais</w:t>
      </w:r>
      <w:r>
        <w:rPr>
          <w:spacing w:val="-3"/>
        </w:rPr>
        <w:t> </w:t>
      </w:r>
      <w:r>
        <w:rPr/>
        <w:t>aplicáveis</w:t>
      </w:r>
      <w:r>
        <w:rPr>
          <w:spacing w:val="-3"/>
        </w:rPr>
        <w:t> </w:t>
      </w:r>
      <w:r>
        <w:rPr/>
        <w:t>à</w:t>
      </w:r>
      <w:r>
        <w:rPr>
          <w:spacing w:val="-3"/>
        </w:rPr>
        <w:t> </w:t>
      </w:r>
      <w:r>
        <w:rPr/>
        <w:t>contratação</w:t>
      </w:r>
      <w:r>
        <w:rPr>
          <w:spacing w:val="-3"/>
        </w:rPr>
        <w:t> </w:t>
      </w:r>
      <w:r>
        <w:rPr/>
        <w:t>emergencial.</w:t>
      </w:r>
      <w:r>
        <w:rPr>
          <w:spacing w:val="-3"/>
        </w:rPr>
        <w:t> </w:t>
      </w:r>
      <w:r>
        <w:rPr/>
        <w:t>Nessa</w:t>
      </w:r>
      <w:r>
        <w:rPr>
          <w:spacing w:val="-3"/>
        </w:rPr>
        <w:t> </w:t>
      </w:r>
      <w:r>
        <w:rPr/>
        <w:t>linha,</w:t>
      </w:r>
      <w:r>
        <w:rPr>
          <w:spacing w:val="-3"/>
        </w:rPr>
        <w:t> </w:t>
      </w:r>
      <w:r>
        <w:rPr/>
        <w:t>embora</w:t>
      </w:r>
      <w:r>
        <w:rPr>
          <w:spacing w:val="-2"/>
        </w:rPr>
        <w:t> </w:t>
      </w:r>
      <w:r>
        <w:rPr/>
        <w:t>a</w:t>
      </w:r>
      <w:r>
        <w:rPr>
          <w:spacing w:val="-2"/>
        </w:rPr>
        <w:t> </w:t>
      </w:r>
      <w:r>
        <w:rPr/>
        <w:t>ausência</w:t>
      </w:r>
      <w:r>
        <w:rPr>
          <w:spacing w:val="-2"/>
        </w:rPr>
        <w:t> </w:t>
      </w:r>
      <w:r>
        <w:rPr/>
        <w:t>de</w:t>
      </w:r>
      <w:r>
        <w:rPr>
          <w:spacing w:val="-2"/>
        </w:rPr>
        <w:t> </w:t>
      </w:r>
      <w:r>
        <w:rPr/>
        <w:t>formalização</w:t>
      </w:r>
      <w:r>
        <w:rPr>
          <w:spacing w:val="-2"/>
        </w:rPr>
        <w:t> </w:t>
      </w:r>
      <w:r>
        <w:rPr/>
        <w:t>tempestiva</w:t>
      </w:r>
      <w:r>
        <w:rPr>
          <w:spacing w:val="-2"/>
        </w:rPr>
        <w:t> </w:t>
      </w:r>
      <w:r>
        <w:rPr/>
        <w:t>do ajuste recomende a adoção de cautelas adicionais quanto à regularidade procedimental e à avaliação das circunstâncias que ensejaram a execução antecipada dos serviços, eventual irregularidade de natureza formal não afasta, em tese, o dever de adimplemento da despesa correspondente, sob pena de enriquecimento sem causa da Administração, diante da comprovação da efetiva prestação do serviço, em contexto de urgência devidamente caracterizado e no interesse público, sem prejuízo da apuração de responsabilidades em sede própria, nos termos do art. 29, § 2º, da Lei nº 13.303/2016. Cumpre registrar, ainda, que a Decisão DIREXE nº 54/2026 demonstra-se associada à necessidade de adequação da programação</w:t>
      </w:r>
      <w:r>
        <w:rPr>
          <w:spacing w:val="-1"/>
        </w:rPr>
        <w:t> </w:t>
      </w:r>
      <w:r>
        <w:rPr/>
        <w:t>orçamentária</w:t>
      </w:r>
      <w:r>
        <w:rPr>
          <w:spacing w:val="-1"/>
        </w:rPr>
        <w:t> </w:t>
      </w:r>
      <w:r>
        <w:rPr/>
        <w:t>voltada</w:t>
      </w:r>
      <w:r>
        <w:rPr>
          <w:spacing w:val="-1"/>
        </w:rPr>
        <w:t> </w:t>
      </w:r>
      <w:r>
        <w:rPr/>
        <w:t>à</w:t>
      </w:r>
      <w:r>
        <w:rPr>
          <w:spacing w:val="-1"/>
        </w:rPr>
        <w:t> </w:t>
      </w:r>
      <w:r>
        <w:rPr/>
        <w:t>viabilização</w:t>
      </w:r>
      <w:r>
        <w:rPr>
          <w:spacing w:val="-1"/>
        </w:rPr>
        <w:t> </w:t>
      </w:r>
      <w:r>
        <w:rPr/>
        <w:t>da</w:t>
      </w:r>
      <w:r>
        <w:rPr>
          <w:spacing w:val="-1"/>
        </w:rPr>
        <w:t> </w:t>
      </w:r>
      <w:r>
        <w:rPr/>
        <w:t>despesa</w:t>
      </w:r>
      <w:r>
        <w:rPr>
          <w:spacing w:val="-1"/>
        </w:rPr>
        <w:t> </w:t>
      </w:r>
      <w:r>
        <w:rPr/>
        <w:t>correspondente</w:t>
      </w:r>
      <w:r>
        <w:rPr>
          <w:spacing w:val="-1"/>
        </w:rPr>
        <w:t> </w:t>
      </w:r>
      <w:r>
        <w:rPr/>
        <w:t>à</w:t>
      </w:r>
      <w:r>
        <w:rPr>
          <w:spacing w:val="-1"/>
        </w:rPr>
        <w:t> </w:t>
      </w:r>
      <w:r>
        <w:rPr/>
        <w:t>contratação</w:t>
      </w:r>
      <w:r>
        <w:rPr>
          <w:spacing w:val="-1"/>
        </w:rPr>
        <w:t> </w:t>
      </w:r>
      <w:r>
        <w:rPr/>
        <w:t>emergencial</w:t>
      </w:r>
      <w:r>
        <w:rPr>
          <w:spacing w:val="-1"/>
        </w:rPr>
        <w:t> </w:t>
      </w:r>
      <w:r>
        <w:rPr/>
        <w:t>em</w:t>
      </w:r>
    </w:p>
    <w:p>
      <w:pPr>
        <w:pStyle w:val="BodyText"/>
        <w:spacing w:after="0"/>
        <w:jc w:val="both"/>
        <w:sectPr>
          <w:pgSz w:w="11900" w:h="16840"/>
          <w:pgMar w:header="0" w:footer="181" w:top="500" w:bottom="380" w:left="566" w:right="566"/>
        </w:sectPr>
      </w:pPr>
    </w:p>
    <w:p>
      <w:pPr>
        <w:pStyle w:val="BodyText"/>
        <w:spacing w:before="60"/>
        <w:ind w:right="240"/>
        <w:jc w:val="both"/>
      </w:pPr>
      <w:r>
        <w:rPr/>
        <w:t>referência, conforme apontamento do CONFIS, evidenciando providência administrativa relacionada à compatibilização orçamentária da obrigação decorrente dos serviços já executados, inclusive podendo ser avaliadas as nuances relacionadas à motivação administrativa concernente à medida, levando em consideração a conveniência e os fundamentos de eventual remanejamento interno de recursos disponibilizados para o exercício financeiro. Assim, considerando que os serviços, conforme relatado no apontamento do CONFIS, já se encontram executados e que, até o presente momento, não foram apresentadas informações acompanhadas de elementos objetivos indicativos de prejuízo material ao interesse público decorrente da medida adotada, recomenda-se que a apreciação da matéria observe os vetores pragmáticos e consequencialistas previstos na Lei de Introdução às Normas do Direito Brasileiro (LINDB), especialmente em seus arts. 20 a 22, ponderando-se não apenas a eventual desnecessidade de invalidação de atos administrativos em hipóteses de vícios de natureza predominantemente formal e sem repercussão material relevante, mas também as consequências práticas relacionadas à efetiva prestação do serviço e à necessidade de avaliação quanto ao correspondente adimplemento da obrigação pela Administração, evitando-se, em tese, enriquecimento sem causa, sem prejuízo da adoção de providências destinadas ao aprimoramento dos controles internos, ao fortalecimento da formalização tempestiva dos procedimentos futuros e, caso se entenda pertinente, à apuração das circunstâncias relacionadas ao caso concreto em sede própria.</w:t>
      </w:r>
    </w:p>
    <w:p>
      <w:pPr>
        <w:pStyle w:val="BodyText"/>
        <w:spacing w:before="90"/>
        <w:ind w:right="245"/>
        <w:jc w:val="both"/>
      </w:pPr>
      <w:r>
        <w:rPr/>
        <w:t>O</w:t>
      </w:r>
      <w:r>
        <w:rPr>
          <w:spacing w:val="-6"/>
        </w:rPr>
        <w:t> </w:t>
      </w:r>
      <w:r>
        <w:rPr/>
        <w:t>Conselho</w:t>
      </w:r>
      <w:r>
        <w:rPr>
          <w:spacing w:val="-6"/>
        </w:rPr>
        <w:t> </w:t>
      </w:r>
      <w:r>
        <w:rPr/>
        <w:t>ressalta</w:t>
      </w:r>
      <w:r>
        <w:rPr>
          <w:spacing w:val="-6"/>
        </w:rPr>
        <w:t> </w:t>
      </w:r>
      <w:r>
        <w:rPr/>
        <w:t>que</w:t>
      </w:r>
      <w:r>
        <w:rPr>
          <w:spacing w:val="-6"/>
        </w:rPr>
        <w:t> </w:t>
      </w:r>
      <w:r>
        <w:rPr/>
        <w:t>a</w:t>
      </w:r>
      <w:r>
        <w:rPr>
          <w:spacing w:val="-6"/>
        </w:rPr>
        <w:t> </w:t>
      </w:r>
      <w:r>
        <w:rPr/>
        <w:t>questão</w:t>
      </w:r>
      <w:r>
        <w:rPr>
          <w:spacing w:val="-6"/>
        </w:rPr>
        <w:t> </w:t>
      </w:r>
      <w:r>
        <w:rPr/>
        <w:t>não</w:t>
      </w:r>
      <w:r>
        <w:rPr>
          <w:spacing w:val="-6"/>
        </w:rPr>
        <w:t> </w:t>
      </w:r>
      <w:r>
        <w:rPr/>
        <w:t>se</w:t>
      </w:r>
      <w:r>
        <w:rPr>
          <w:spacing w:val="-6"/>
        </w:rPr>
        <w:t> </w:t>
      </w:r>
      <w:r>
        <w:rPr/>
        <w:t>limita</w:t>
      </w:r>
      <w:r>
        <w:rPr>
          <w:spacing w:val="-5"/>
        </w:rPr>
        <w:t> </w:t>
      </w:r>
      <w:r>
        <w:rPr/>
        <w:t>à</w:t>
      </w:r>
      <w:r>
        <w:rPr>
          <w:spacing w:val="-5"/>
        </w:rPr>
        <w:t> </w:t>
      </w:r>
      <w:r>
        <w:rPr/>
        <w:t>admissibilidade</w:t>
      </w:r>
      <w:r>
        <w:rPr>
          <w:spacing w:val="-5"/>
        </w:rPr>
        <w:t> </w:t>
      </w:r>
      <w:r>
        <w:rPr/>
        <w:t>do</w:t>
      </w:r>
      <w:r>
        <w:rPr>
          <w:spacing w:val="-5"/>
        </w:rPr>
        <w:t> </w:t>
      </w:r>
      <w:r>
        <w:rPr/>
        <w:t>ato</w:t>
      </w:r>
      <w:r>
        <w:rPr>
          <w:spacing w:val="-5"/>
        </w:rPr>
        <w:t> </w:t>
      </w:r>
      <w:r>
        <w:rPr/>
        <w:t>e</w:t>
      </w:r>
      <w:r>
        <w:rPr>
          <w:spacing w:val="-5"/>
        </w:rPr>
        <w:t> </w:t>
      </w:r>
      <w:r>
        <w:rPr/>
        <w:t>à</w:t>
      </w:r>
      <w:r>
        <w:rPr>
          <w:spacing w:val="-5"/>
        </w:rPr>
        <w:t> </w:t>
      </w:r>
      <w:r>
        <w:rPr/>
        <w:t>eventual</w:t>
      </w:r>
      <w:r>
        <w:rPr>
          <w:spacing w:val="-5"/>
        </w:rPr>
        <w:t> </w:t>
      </w:r>
      <w:r>
        <w:rPr/>
        <w:t>responsabilização</w:t>
      </w:r>
      <w:r>
        <w:rPr>
          <w:spacing w:val="-5"/>
        </w:rPr>
        <w:t> </w:t>
      </w:r>
      <w:r>
        <w:rPr/>
        <w:t>dos envolvidos, mas, sobretudo, evidencia falhas no planejamento orçamentário e contratual da Companhia.</w:t>
      </w:r>
    </w:p>
    <w:p>
      <w:pPr>
        <w:pStyle w:val="BodyText"/>
        <w:spacing w:before="116"/>
        <w:ind w:right="249"/>
        <w:jc w:val="both"/>
      </w:pPr>
      <w:r>
        <w:rPr/>
        <w:t>Solicita que a matéria seja encaminhada para apuração de responsabilidade quando houver formalização e faturamento de reconhecimento de dívida.</w:t>
      </w:r>
    </w:p>
    <w:p>
      <w:pPr>
        <w:pStyle w:val="BodyText"/>
        <w:spacing w:before="233"/>
        <w:ind w:left="0"/>
      </w:pPr>
    </w:p>
    <w:p>
      <w:pPr>
        <w:pStyle w:val="BodyText"/>
        <w:ind w:right="241"/>
        <w:jc w:val="both"/>
      </w:pPr>
      <w:r>
        <w:rPr>
          <w:b/>
          <w:u w:val="single"/>
        </w:rPr>
        <w:t>Relatório de Auditoria Externa referente ao 3º trimestre / 2025 – Apresentação do Relatório -</w:t>
      </w:r>
      <w:r>
        <w:rPr>
          <w:b/>
          <w:spacing w:val="40"/>
        </w:rPr>
        <w:t> </w:t>
      </w:r>
      <w:r>
        <w:rPr/>
        <w:t>A DIREXE, através do Comunicado nº 6/2026/DIREXE-CDC, informou que o Diretor de Administração e Finanças e a Coordenadoria Financeira registram que estão sendo adotadas medidas voltadas ao aprimoramento dos fluxos internos de fechamento contábil e consolidação das informações financeiras, com o objetivo de reduzir os prazos de elaboração e disponibilização dos balanços trimestrais e anuais, em atendimento às recomendações do CONSAD, do COAUD e às manifestações do CONFIS. Esclarece-se, contudo,</w:t>
      </w:r>
      <w:r>
        <w:rPr>
          <w:spacing w:val="-2"/>
        </w:rPr>
        <w:t> </w:t>
      </w:r>
      <w:r>
        <w:rPr/>
        <w:t>que</w:t>
      </w:r>
      <w:r>
        <w:rPr>
          <w:spacing w:val="-2"/>
        </w:rPr>
        <w:t> </w:t>
      </w:r>
      <w:r>
        <w:rPr/>
        <w:t>o</w:t>
      </w:r>
      <w:r>
        <w:rPr>
          <w:spacing w:val="-2"/>
        </w:rPr>
        <w:t> </w:t>
      </w:r>
      <w:r>
        <w:rPr/>
        <w:t>art.</w:t>
      </w:r>
      <w:r>
        <w:rPr>
          <w:spacing w:val="-2"/>
        </w:rPr>
        <w:t> </w:t>
      </w:r>
      <w:r>
        <w:rPr/>
        <w:t>163,</w:t>
      </w:r>
      <w:r>
        <w:rPr>
          <w:spacing w:val="-2"/>
        </w:rPr>
        <w:t> </w:t>
      </w:r>
      <w:r>
        <w:rPr/>
        <w:t>§</w:t>
      </w:r>
      <w:r>
        <w:rPr>
          <w:spacing w:val="-2"/>
        </w:rPr>
        <w:t> </w:t>
      </w:r>
      <w:r>
        <w:rPr/>
        <w:t>4º,</w:t>
      </w:r>
      <w:r>
        <w:rPr>
          <w:spacing w:val="-2"/>
        </w:rPr>
        <w:t> </w:t>
      </w:r>
      <w:r>
        <w:rPr/>
        <w:t>da</w:t>
      </w:r>
      <w:r>
        <w:rPr>
          <w:spacing w:val="-2"/>
        </w:rPr>
        <w:t> </w:t>
      </w:r>
      <w:r>
        <w:rPr/>
        <w:t>Lei</w:t>
      </w:r>
      <w:r>
        <w:rPr>
          <w:spacing w:val="-2"/>
        </w:rPr>
        <w:t> </w:t>
      </w:r>
      <w:r>
        <w:rPr/>
        <w:t>nº</w:t>
      </w:r>
      <w:r>
        <w:rPr>
          <w:spacing w:val="-2"/>
        </w:rPr>
        <w:t> </w:t>
      </w:r>
      <w:r>
        <w:rPr/>
        <w:t>6.404/1976</w:t>
      </w:r>
      <w:r>
        <w:rPr>
          <w:spacing w:val="-2"/>
        </w:rPr>
        <w:t> </w:t>
      </w:r>
      <w:r>
        <w:rPr/>
        <w:t>não</w:t>
      </w:r>
      <w:r>
        <w:rPr>
          <w:spacing w:val="-2"/>
        </w:rPr>
        <w:t> </w:t>
      </w:r>
      <w:r>
        <w:rPr/>
        <w:t>estabelece</w:t>
      </w:r>
      <w:r>
        <w:rPr>
          <w:spacing w:val="-2"/>
        </w:rPr>
        <w:t> </w:t>
      </w:r>
      <w:r>
        <w:rPr/>
        <w:t>prazo</w:t>
      </w:r>
      <w:r>
        <w:rPr>
          <w:spacing w:val="-2"/>
        </w:rPr>
        <w:t> </w:t>
      </w:r>
      <w:r>
        <w:rPr/>
        <w:t>específico</w:t>
      </w:r>
      <w:r>
        <w:rPr>
          <w:spacing w:val="-2"/>
        </w:rPr>
        <w:t> </w:t>
      </w:r>
      <w:r>
        <w:rPr/>
        <w:t>de</w:t>
      </w:r>
      <w:r>
        <w:rPr>
          <w:spacing w:val="-2"/>
        </w:rPr>
        <w:t> </w:t>
      </w:r>
      <w:r>
        <w:rPr/>
        <w:t>15</w:t>
      </w:r>
      <w:r>
        <w:rPr>
          <w:spacing w:val="-2"/>
        </w:rPr>
        <w:t> </w:t>
      </w:r>
      <w:r>
        <w:rPr/>
        <w:t>(quinze)</w:t>
      </w:r>
      <w:r>
        <w:rPr>
          <w:spacing w:val="-2"/>
        </w:rPr>
        <w:t> </w:t>
      </w:r>
      <w:r>
        <w:rPr/>
        <w:t>dias</w:t>
      </w:r>
      <w:r>
        <w:rPr>
          <w:spacing w:val="-2"/>
        </w:rPr>
        <w:t> </w:t>
      </w:r>
      <w:r>
        <w:rPr/>
        <w:t>para disponibilização de balancetes e demonstrações financeiras ao Conselho Fiscal, dispondo apenas acerca da possibilidade de solicitação de esclarecimentos e informações aos auditores independentes, mas o disposto no art. 163, § 1º, da Lei nº 6.404/1976, quanto à disponibilização dos balancetes e demais demonstrações financeiras periódicas ao Conselho Fiscal, ressaltando-se que o referido prazo legal é contado a partir do recebimento/conclusão das demonstrações elaboradas pelas áreas competentes. Ressalta-se, ainda, que os prazos para conclusão e apresentação das demonstrações financeiras dependem da adequada consolidação de informações oriundas de diversas áreas internas da Companhia, bem como de informações e validações externas, como o Relatório Atuarial do PORTUS, emitido pela empresa ROXF, necessárias ao encerramento contábil, circunstâncias que impactam diretamente o cronograma de finalização dos demonstrativos. Não obstante, a Administração permanece empenhada na adoção de medidas que possibilitem maior tempestividade na disponibilização das informações ao colegiado, observadas as exigências técnicas, legais e de conformidade aplicáveis.</w:t>
      </w:r>
    </w:p>
    <w:p>
      <w:pPr>
        <w:pStyle w:val="BodyText"/>
        <w:spacing w:before="86"/>
        <w:ind w:right="240"/>
        <w:jc w:val="both"/>
      </w:pPr>
      <w:r>
        <w:rPr/>
        <w:t>O Conselho informa que houve equívoco na menção ao parágrafo anteriormente citado. Contudo, permanece pendente a apresentação de um calendário viável, sendo necessária a antecipação da data de encerramento do balancete, atualmente fixada no dia 20 de cada trimestre.</w:t>
      </w:r>
    </w:p>
    <w:p>
      <w:pPr>
        <w:pStyle w:val="BodyText"/>
        <w:spacing w:before="114"/>
        <w:ind w:right="242"/>
        <w:jc w:val="both"/>
      </w:pPr>
      <w:r>
        <w:rPr/>
        <w:t>Recomenda</w:t>
      </w:r>
      <w:r>
        <w:rPr>
          <w:spacing w:val="-5"/>
        </w:rPr>
        <w:t> </w:t>
      </w:r>
      <w:r>
        <w:rPr/>
        <w:t>fortemente,</w:t>
      </w:r>
      <w:r>
        <w:rPr>
          <w:spacing w:val="-5"/>
        </w:rPr>
        <w:t> </w:t>
      </w:r>
      <w:r>
        <w:rPr/>
        <w:t>ainda,</w:t>
      </w:r>
      <w:r>
        <w:rPr>
          <w:spacing w:val="-5"/>
        </w:rPr>
        <w:t> </w:t>
      </w:r>
      <w:r>
        <w:rPr/>
        <w:t>que</w:t>
      </w:r>
      <w:r>
        <w:rPr>
          <w:spacing w:val="-5"/>
        </w:rPr>
        <w:t> </w:t>
      </w:r>
      <w:r>
        <w:rPr/>
        <w:t>seja</w:t>
      </w:r>
      <w:r>
        <w:rPr>
          <w:spacing w:val="-5"/>
        </w:rPr>
        <w:t> </w:t>
      </w:r>
      <w:r>
        <w:rPr/>
        <w:t>estabelecido</w:t>
      </w:r>
      <w:r>
        <w:rPr>
          <w:spacing w:val="-5"/>
        </w:rPr>
        <w:t> </w:t>
      </w:r>
      <w:r>
        <w:rPr/>
        <w:t>prazo</w:t>
      </w:r>
      <w:r>
        <w:rPr>
          <w:spacing w:val="-5"/>
        </w:rPr>
        <w:t> </w:t>
      </w:r>
      <w:r>
        <w:rPr/>
        <w:t>limite</w:t>
      </w:r>
      <w:r>
        <w:rPr>
          <w:spacing w:val="-5"/>
        </w:rPr>
        <w:t> </w:t>
      </w:r>
      <w:r>
        <w:rPr/>
        <w:t>para</w:t>
      </w:r>
      <w:r>
        <w:rPr>
          <w:spacing w:val="-5"/>
        </w:rPr>
        <w:t> </w:t>
      </w:r>
      <w:r>
        <w:rPr/>
        <w:t>medição</w:t>
      </w:r>
      <w:r>
        <w:rPr>
          <w:spacing w:val="-5"/>
        </w:rPr>
        <w:t> </w:t>
      </w:r>
      <w:r>
        <w:rPr/>
        <w:t>dos</w:t>
      </w:r>
      <w:r>
        <w:rPr>
          <w:spacing w:val="-4"/>
        </w:rPr>
        <w:t> </w:t>
      </w:r>
      <w:r>
        <w:rPr/>
        <w:t>serviços</w:t>
      </w:r>
      <w:r>
        <w:rPr>
          <w:spacing w:val="-4"/>
        </w:rPr>
        <w:t> </w:t>
      </w:r>
      <w:r>
        <w:rPr/>
        <w:t>prestados</w:t>
      </w:r>
      <w:r>
        <w:rPr>
          <w:spacing w:val="-4"/>
        </w:rPr>
        <w:t> </w:t>
      </w:r>
      <w:r>
        <w:rPr/>
        <w:t>até</w:t>
      </w:r>
      <w:r>
        <w:rPr>
          <w:spacing w:val="-4"/>
        </w:rPr>
        <w:t> </w:t>
      </w:r>
      <w:r>
        <w:rPr/>
        <w:t>o último dia útil de cada mês, com vistas a faturamento e pagamento no início do mês subsequente: ressaltando-se,</w:t>
      </w:r>
      <w:r>
        <w:rPr>
          <w:spacing w:val="-6"/>
        </w:rPr>
        <w:t> </w:t>
      </w:r>
      <w:r>
        <w:rPr/>
        <w:t>também,</w:t>
      </w:r>
      <w:r>
        <w:rPr>
          <w:spacing w:val="-6"/>
        </w:rPr>
        <w:t> </w:t>
      </w:r>
      <w:r>
        <w:rPr/>
        <w:t>que</w:t>
      </w:r>
      <w:r>
        <w:rPr>
          <w:spacing w:val="-6"/>
        </w:rPr>
        <w:t> </w:t>
      </w:r>
      <w:r>
        <w:rPr/>
        <w:t>contratos</w:t>
      </w:r>
      <w:r>
        <w:rPr>
          <w:spacing w:val="-6"/>
        </w:rPr>
        <w:t> </w:t>
      </w:r>
      <w:r>
        <w:rPr/>
        <w:t>em</w:t>
      </w:r>
      <w:r>
        <w:rPr>
          <w:spacing w:val="-6"/>
        </w:rPr>
        <w:t> </w:t>
      </w:r>
      <w:r>
        <w:rPr/>
        <w:t>curso</w:t>
      </w:r>
      <w:r>
        <w:rPr>
          <w:spacing w:val="-6"/>
        </w:rPr>
        <w:t> </w:t>
      </w:r>
      <w:r>
        <w:rPr/>
        <w:t>podem</w:t>
      </w:r>
      <w:r>
        <w:rPr>
          <w:spacing w:val="-6"/>
        </w:rPr>
        <w:t> </w:t>
      </w:r>
      <w:r>
        <w:rPr/>
        <w:t>ser</w:t>
      </w:r>
      <w:r>
        <w:rPr>
          <w:spacing w:val="-6"/>
        </w:rPr>
        <w:t> </w:t>
      </w:r>
      <w:r>
        <w:rPr/>
        <w:t>aditados</w:t>
      </w:r>
      <w:r>
        <w:rPr>
          <w:spacing w:val="-6"/>
        </w:rPr>
        <w:t> </w:t>
      </w:r>
      <w:r>
        <w:rPr/>
        <w:t>para</w:t>
      </w:r>
      <w:r>
        <w:rPr>
          <w:spacing w:val="-6"/>
        </w:rPr>
        <w:t> </w:t>
      </w:r>
      <w:r>
        <w:rPr/>
        <w:t>constar</w:t>
      </w:r>
      <w:r>
        <w:rPr>
          <w:spacing w:val="-6"/>
        </w:rPr>
        <w:t> </w:t>
      </w:r>
      <w:r>
        <w:rPr/>
        <w:t>a</w:t>
      </w:r>
      <w:r>
        <w:rPr>
          <w:spacing w:val="-6"/>
        </w:rPr>
        <w:t> </w:t>
      </w:r>
      <w:r>
        <w:rPr/>
        <w:t>data</w:t>
      </w:r>
      <w:r>
        <w:rPr>
          <w:spacing w:val="-6"/>
        </w:rPr>
        <w:t> </w:t>
      </w:r>
      <w:r>
        <w:rPr/>
        <w:t>limite</w:t>
      </w:r>
      <w:r>
        <w:rPr>
          <w:spacing w:val="-6"/>
        </w:rPr>
        <w:t> </w:t>
      </w:r>
      <w:r>
        <w:rPr/>
        <w:t>para</w:t>
      </w:r>
      <w:r>
        <w:rPr>
          <w:spacing w:val="-6"/>
        </w:rPr>
        <w:t> </w:t>
      </w:r>
      <w:r>
        <w:rPr/>
        <w:t>medição e faturamento mensal.</w:t>
      </w:r>
    </w:p>
    <w:p>
      <w:pPr>
        <w:pStyle w:val="BodyText"/>
        <w:spacing w:before="230"/>
        <w:ind w:left="0"/>
      </w:pPr>
    </w:p>
    <w:p>
      <w:pPr>
        <w:pStyle w:val="Heading2"/>
        <w:spacing w:line="275" w:lineRule="exact"/>
        <w:jc w:val="both"/>
      </w:pPr>
      <w:r>
        <w:rPr>
          <w:u w:val="single"/>
        </w:rPr>
        <w:t>Análise</w:t>
      </w:r>
      <w:r>
        <w:rPr>
          <w:spacing w:val="-5"/>
          <w:u w:val="single"/>
        </w:rPr>
        <w:t> </w:t>
      </w:r>
      <w:r>
        <w:rPr>
          <w:u w:val="single"/>
        </w:rPr>
        <w:t>do</w:t>
      </w:r>
      <w:r>
        <w:rPr>
          <w:spacing w:val="-4"/>
          <w:u w:val="single"/>
        </w:rPr>
        <w:t> </w:t>
      </w:r>
      <w:r>
        <w:rPr>
          <w:u w:val="single"/>
        </w:rPr>
        <w:t>Balancete</w:t>
      </w:r>
      <w:r>
        <w:rPr>
          <w:spacing w:val="-4"/>
          <w:u w:val="single"/>
        </w:rPr>
        <w:t> </w:t>
      </w:r>
      <w:r>
        <w:rPr>
          <w:u w:val="single"/>
        </w:rPr>
        <w:t>e</w:t>
      </w:r>
      <w:r>
        <w:rPr>
          <w:spacing w:val="-4"/>
          <w:u w:val="single"/>
        </w:rPr>
        <w:t> </w:t>
      </w:r>
      <w:r>
        <w:rPr>
          <w:u w:val="single"/>
        </w:rPr>
        <w:t>acompanhamento</w:t>
      </w:r>
      <w:r>
        <w:rPr>
          <w:spacing w:val="-4"/>
          <w:u w:val="single"/>
        </w:rPr>
        <w:t> </w:t>
      </w:r>
      <w:r>
        <w:rPr>
          <w:u w:val="single"/>
        </w:rPr>
        <w:t>mensal</w:t>
      </w:r>
      <w:r>
        <w:rPr>
          <w:spacing w:val="-4"/>
          <w:u w:val="single"/>
        </w:rPr>
        <w:t> </w:t>
      </w:r>
      <w:r>
        <w:rPr>
          <w:u w:val="single"/>
        </w:rPr>
        <w:t>dos</w:t>
      </w:r>
      <w:r>
        <w:rPr>
          <w:spacing w:val="-4"/>
          <w:u w:val="single"/>
        </w:rPr>
        <w:t> </w:t>
      </w:r>
      <w:r>
        <w:rPr>
          <w:u w:val="single"/>
        </w:rPr>
        <w:t>resultados</w:t>
      </w:r>
      <w:r>
        <w:rPr>
          <w:spacing w:val="-4"/>
          <w:u w:val="single"/>
        </w:rPr>
        <w:t> </w:t>
      </w:r>
      <w:r>
        <w:rPr>
          <w:u w:val="single"/>
        </w:rPr>
        <w:t>econômicos</w:t>
      </w:r>
      <w:r>
        <w:rPr>
          <w:spacing w:val="-4"/>
          <w:u w:val="single"/>
        </w:rPr>
        <w:t> </w:t>
      </w:r>
      <w:r>
        <w:rPr>
          <w:u w:val="single"/>
        </w:rPr>
        <w:t>–</w:t>
      </w:r>
      <w:r>
        <w:rPr>
          <w:spacing w:val="-4"/>
          <w:u w:val="single"/>
        </w:rPr>
        <w:t> </w:t>
      </w:r>
      <w:r>
        <w:rPr>
          <w:u w:val="single"/>
        </w:rPr>
        <w:t>financeiros</w:t>
      </w:r>
      <w:r>
        <w:rPr>
          <w:spacing w:val="-5"/>
          <w:u w:val="single"/>
        </w:rPr>
        <w:t> </w:t>
      </w:r>
      <w:r>
        <w:rPr>
          <w:u w:val="single"/>
        </w:rPr>
        <w:t>–</w:t>
      </w:r>
      <w:r>
        <w:rPr>
          <w:spacing w:val="-4"/>
          <w:u w:val="single"/>
        </w:rPr>
        <w:t> </w:t>
      </w:r>
      <w:r>
        <w:rPr>
          <w:spacing w:val="-2"/>
          <w:u w:val="single"/>
        </w:rPr>
        <w:t>fevereiro</w:t>
      </w:r>
    </w:p>
    <w:p>
      <w:pPr>
        <w:spacing w:before="0"/>
        <w:ind w:left="242" w:right="240" w:firstLine="0"/>
        <w:jc w:val="both"/>
        <w:rPr>
          <w:sz w:val="24"/>
        </w:rPr>
      </w:pPr>
      <w:r>
        <w:rPr>
          <w:b/>
          <w:sz w:val="24"/>
          <w:u w:val="single"/>
        </w:rPr>
        <w:t>/ 2026 - Despesas com limpeza e conservação e Serviços de recepção, portaria e motorista -</w:t>
      </w:r>
      <w:r>
        <w:rPr>
          <w:b/>
          <w:spacing w:val="-9"/>
          <w:sz w:val="24"/>
        </w:rPr>
        <w:t> </w:t>
      </w:r>
      <w:r>
        <w:rPr>
          <w:sz w:val="24"/>
        </w:rPr>
        <w:t>A DIREXE, através do Comunicado nº 6/2026/DIREXE-CDC, informou que o aumento registrado na conta ‘Despesas</w:t>
      </w:r>
      <w:r>
        <w:rPr>
          <w:spacing w:val="32"/>
          <w:sz w:val="24"/>
        </w:rPr>
        <w:t> </w:t>
      </w:r>
      <w:r>
        <w:rPr>
          <w:sz w:val="24"/>
        </w:rPr>
        <w:t>com</w:t>
      </w:r>
      <w:r>
        <w:rPr>
          <w:spacing w:val="32"/>
          <w:sz w:val="24"/>
        </w:rPr>
        <w:t> </w:t>
      </w:r>
      <w:r>
        <w:rPr>
          <w:sz w:val="24"/>
        </w:rPr>
        <w:t>limpeza</w:t>
      </w:r>
      <w:r>
        <w:rPr>
          <w:spacing w:val="32"/>
          <w:sz w:val="24"/>
        </w:rPr>
        <w:t> </w:t>
      </w:r>
      <w:r>
        <w:rPr>
          <w:sz w:val="24"/>
        </w:rPr>
        <w:t>e</w:t>
      </w:r>
      <w:r>
        <w:rPr>
          <w:spacing w:val="32"/>
          <w:sz w:val="24"/>
        </w:rPr>
        <w:t> </w:t>
      </w:r>
      <w:r>
        <w:rPr>
          <w:sz w:val="24"/>
        </w:rPr>
        <w:t>conservação’</w:t>
      </w:r>
      <w:r>
        <w:rPr>
          <w:spacing w:val="20"/>
          <w:sz w:val="24"/>
        </w:rPr>
        <w:t> </w:t>
      </w:r>
      <w:r>
        <w:rPr>
          <w:sz w:val="24"/>
        </w:rPr>
        <w:t>nos</w:t>
      </w:r>
      <w:r>
        <w:rPr>
          <w:spacing w:val="32"/>
          <w:sz w:val="24"/>
        </w:rPr>
        <w:t> </w:t>
      </w:r>
      <w:r>
        <w:rPr>
          <w:sz w:val="24"/>
        </w:rPr>
        <w:t>meses</w:t>
      </w:r>
      <w:r>
        <w:rPr>
          <w:spacing w:val="32"/>
          <w:sz w:val="24"/>
        </w:rPr>
        <w:t> </w:t>
      </w:r>
      <w:r>
        <w:rPr>
          <w:sz w:val="24"/>
        </w:rPr>
        <w:t>de</w:t>
      </w:r>
      <w:r>
        <w:rPr>
          <w:spacing w:val="32"/>
          <w:sz w:val="24"/>
        </w:rPr>
        <w:t> </w:t>
      </w:r>
      <w:r>
        <w:rPr>
          <w:sz w:val="24"/>
        </w:rPr>
        <w:t>janeiro</w:t>
      </w:r>
      <w:r>
        <w:rPr>
          <w:spacing w:val="32"/>
          <w:sz w:val="24"/>
        </w:rPr>
        <w:t> </w:t>
      </w:r>
      <w:r>
        <w:rPr>
          <w:sz w:val="24"/>
        </w:rPr>
        <w:t>e</w:t>
      </w:r>
      <w:r>
        <w:rPr>
          <w:spacing w:val="32"/>
          <w:sz w:val="24"/>
        </w:rPr>
        <w:t> </w:t>
      </w:r>
      <w:r>
        <w:rPr>
          <w:sz w:val="24"/>
        </w:rPr>
        <w:t>fevereiro</w:t>
      </w:r>
      <w:r>
        <w:rPr>
          <w:spacing w:val="32"/>
          <w:sz w:val="24"/>
        </w:rPr>
        <w:t> </w:t>
      </w:r>
      <w:r>
        <w:rPr>
          <w:sz w:val="24"/>
        </w:rPr>
        <w:t>de</w:t>
      </w:r>
      <w:r>
        <w:rPr>
          <w:spacing w:val="32"/>
          <w:sz w:val="24"/>
        </w:rPr>
        <w:t> </w:t>
      </w:r>
      <w:r>
        <w:rPr>
          <w:sz w:val="24"/>
        </w:rPr>
        <w:t>2026</w:t>
      </w:r>
      <w:r>
        <w:rPr>
          <w:spacing w:val="32"/>
          <w:sz w:val="24"/>
        </w:rPr>
        <w:t> </w:t>
      </w:r>
      <w:r>
        <w:rPr>
          <w:sz w:val="24"/>
        </w:rPr>
        <w:t>ocorreu</w:t>
      </w:r>
      <w:r>
        <w:rPr>
          <w:spacing w:val="32"/>
          <w:sz w:val="24"/>
        </w:rPr>
        <w:t> </w:t>
      </w:r>
      <w:r>
        <w:rPr>
          <w:sz w:val="24"/>
        </w:rPr>
        <w:t>em</w:t>
      </w:r>
      <w:r>
        <w:rPr>
          <w:spacing w:val="32"/>
          <w:sz w:val="24"/>
        </w:rPr>
        <w:t> </w:t>
      </w:r>
      <w:r>
        <w:rPr>
          <w:sz w:val="24"/>
        </w:rPr>
        <w:t>razão</w:t>
      </w:r>
      <w:r>
        <w:rPr>
          <w:spacing w:val="32"/>
          <w:sz w:val="24"/>
        </w:rPr>
        <w:t> </w:t>
      </w:r>
      <w:r>
        <w:rPr>
          <w:sz w:val="24"/>
        </w:rPr>
        <w:t>da</w:t>
      </w:r>
    </w:p>
    <w:p>
      <w:pPr>
        <w:spacing w:after="0"/>
        <w:jc w:val="both"/>
        <w:rPr>
          <w:sz w:val="24"/>
        </w:rPr>
        <w:sectPr>
          <w:pgSz w:w="11900" w:h="16840"/>
          <w:pgMar w:header="0" w:footer="181" w:top="500" w:bottom="380" w:left="566" w:right="566"/>
        </w:sectPr>
      </w:pPr>
    </w:p>
    <w:p>
      <w:pPr>
        <w:pStyle w:val="BodyText"/>
        <w:spacing w:before="60"/>
        <w:ind w:right="242"/>
        <w:jc w:val="both"/>
      </w:pPr>
      <w:r>
        <w:rPr/>
        <w:t>apresentação de duas medições da empresa</w:t>
      </w:r>
      <w:r>
        <w:rPr>
          <w:spacing w:val="-1"/>
        </w:rPr>
        <w:t> </w:t>
      </w:r>
      <w:r>
        <w:rPr/>
        <w:t>ATHOS</w:t>
      </w:r>
      <w:r>
        <w:rPr>
          <w:spacing w:val="-1"/>
        </w:rPr>
        <w:t> </w:t>
      </w:r>
      <w:r>
        <w:rPr/>
        <w:t>ASSESSORIA</w:t>
      </w:r>
      <w:r>
        <w:rPr>
          <w:spacing w:val="-1"/>
        </w:rPr>
        <w:t> </w:t>
      </w:r>
      <w:r>
        <w:rPr/>
        <w:t>no mês de janeiro de 2026, conforme lançamentos</w:t>
      </w:r>
      <w:r>
        <w:rPr>
          <w:spacing w:val="-4"/>
        </w:rPr>
        <w:t> </w:t>
      </w:r>
      <w:r>
        <w:rPr/>
        <w:t>das</w:t>
      </w:r>
      <w:r>
        <w:rPr>
          <w:spacing w:val="-4"/>
        </w:rPr>
        <w:t> </w:t>
      </w:r>
      <w:r>
        <w:rPr/>
        <w:t>NFS</w:t>
      </w:r>
      <w:r>
        <w:rPr>
          <w:spacing w:val="-4"/>
        </w:rPr>
        <w:t> </w:t>
      </w:r>
      <w:r>
        <w:rPr/>
        <w:t>nº</w:t>
      </w:r>
      <w:r>
        <w:rPr>
          <w:spacing w:val="-4"/>
        </w:rPr>
        <w:t> </w:t>
      </w:r>
      <w:r>
        <w:rPr/>
        <w:t>4417</w:t>
      </w:r>
      <w:r>
        <w:rPr>
          <w:spacing w:val="-4"/>
        </w:rPr>
        <w:t> </w:t>
      </w:r>
      <w:r>
        <w:rPr/>
        <w:t>e</w:t>
      </w:r>
      <w:r>
        <w:rPr>
          <w:spacing w:val="-4"/>
        </w:rPr>
        <w:t> </w:t>
      </w:r>
      <w:r>
        <w:rPr/>
        <w:t>nº</w:t>
      </w:r>
      <w:r>
        <w:rPr>
          <w:spacing w:val="-4"/>
        </w:rPr>
        <w:t> </w:t>
      </w:r>
      <w:r>
        <w:rPr/>
        <w:t>4597,</w:t>
      </w:r>
      <w:r>
        <w:rPr>
          <w:spacing w:val="-4"/>
        </w:rPr>
        <w:t> </w:t>
      </w:r>
      <w:r>
        <w:rPr/>
        <w:t>CONFORME</w:t>
      </w:r>
      <w:r>
        <w:rPr>
          <w:spacing w:val="-4"/>
        </w:rPr>
        <w:t> </w:t>
      </w:r>
      <w:r>
        <w:rPr/>
        <w:t>RAZÃO</w:t>
      </w:r>
      <w:r>
        <w:rPr>
          <w:spacing w:val="-4"/>
        </w:rPr>
        <w:t> </w:t>
      </w:r>
      <w:r>
        <w:rPr/>
        <w:t>EM</w:t>
      </w:r>
      <w:r>
        <w:rPr>
          <w:spacing w:val="-15"/>
        </w:rPr>
        <w:t> </w:t>
      </w:r>
      <w:r>
        <w:rPr/>
        <w:t>ANEXO,</w:t>
      </w:r>
      <w:r>
        <w:rPr>
          <w:spacing w:val="-4"/>
        </w:rPr>
        <w:t> </w:t>
      </w:r>
      <w:r>
        <w:rPr/>
        <w:t>SEI</w:t>
      </w:r>
      <w:r>
        <w:rPr>
          <w:spacing w:val="-4"/>
        </w:rPr>
        <w:t> </w:t>
      </w:r>
      <w:r>
        <w:rPr/>
        <w:t>n°11264391. Informou, ainda,</w:t>
      </w:r>
      <w:r>
        <w:rPr>
          <w:spacing w:val="-3"/>
        </w:rPr>
        <w:t> </w:t>
      </w:r>
      <w:r>
        <w:rPr/>
        <w:t>o</w:t>
      </w:r>
      <w:r>
        <w:rPr>
          <w:spacing w:val="-3"/>
        </w:rPr>
        <w:t> </w:t>
      </w:r>
      <w:r>
        <w:rPr/>
        <w:t>que</w:t>
      </w:r>
      <w:r>
        <w:rPr>
          <w:spacing w:val="-3"/>
        </w:rPr>
        <w:t> </w:t>
      </w:r>
      <w:r>
        <w:rPr/>
        <w:t>segue:</w:t>
      </w:r>
      <w:r>
        <w:rPr>
          <w:spacing w:val="-2"/>
        </w:rPr>
        <w:t> </w:t>
      </w:r>
      <w:r>
        <w:rPr/>
        <w:t>JANEIRO:</w:t>
      </w:r>
      <w:r>
        <w:rPr>
          <w:spacing w:val="-2"/>
        </w:rPr>
        <w:t> </w:t>
      </w:r>
      <w:r>
        <w:rPr/>
        <w:t>NF</w:t>
      </w:r>
      <w:r>
        <w:rPr>
          <w:spacing w:val="-2"/>
        </w:rPr>
        <w:t> </w:t>
      </w:r>
      <w:r>
        <w:rPr/>
        <w:t>4416</w:t>
      </w:r>
      <w:r>
        <w:rPr>
          <w:spacing w:val="-2"/>
        </w:rPr>
        <w:t> </w:t>
      </w:r>
      <w:r>
        <w:rPr/>
        <w:t>–</w:t>
      </w:r>
      <w:r>
        <w:rPr>
          <w:spacing w:val="-2"/>
        </w:rPr>
        <w:t> </w:t>
      </w:r>
      <w:r>
        <w:rPr/>
        <w:t>Descrição:</w:t>
      </w:r>
      <w:r>
        <w:rPr>
          <w:spacing w:val="-2"/>
        </w:rPr>
        <w:t> </w:t>
      </w:r>
      <w:r>
        <w:rPr/>
        <w:t>Contrato</w:t>
      </w:r>
      <w:r>
        <w:rPr>
          <w:spacing w:val="-2"/>
        </w:rPr>
        <w:t> </w:t>
      </w:r>
      <w:r>
        <w:rPr/>
        <w:t>no</w:t>
      </w:r>
      <w:r>
        <w:rPr>
          <w:spacing w:val="-2"/>
        </w:rPr>
        <w:t> </w:t>
      </w:r>
      <w:r>
        <w:rPr/>
        <w:t>058/2025</w:t>
      </w:r>
      <w:r>
        <w:rPr>
          <w:spacing w:val="-2"/>
        </w:rPr>
        <w:t> </w:t>
      </w:r>
      <w:r>
        <w:rPr/>
        <w:t>–</w:t>
      </w:r>
      <w:r>
        <w:rPr>
          <w:spacing w:val="-2"/>
        </w:rPr>
        <w:t> </w:t>
      </w:r>
      <w:r>
        <w:rPr/>
        <w:t>Serviço</w:t>
      </w:r>
      <w:r>
        <w:rPr>
          <w:spacing w:val="-2"/>
        </w:rPr>
        <w:t> </w:t>
      </w:r>
      <w:r>
        <w:rPr/>
        <w:t>de</w:t>
      </w:r>
      <w:r>
        <w:rPr>
          <w:spacing w:val="-2"/>
        </w:rPr>
        <w:t> </w:t>
      </w:r>
      <w:r>
        <w:rPr/>
        <w:t>Limpeza</w:t>
      </w:r>
      <w:r>
        <w:rPr>
          <w:spacing w:val="-2"/>
        </w:rPr>
        <w:t> </w:t>
      </w:r>
      <w:r>
        <w:rPr/>
        <w:t>e</w:t>
      </w:r>
      <w:r>
        <w:rPr>
          <w:spacing w:val="-14"/>
        </w:rPr>
        <w:t> </w:t>
      </w:r>
      <w:r>
        <w:rPr/>
        <w:t>Apoio Administrativo (Coordenador de Terceirizados, Encarregado de Turma, Motorista “B” – 01 a 09 lugares, Portaria 24h – Diurno, Portaria 24h – Noturno, Recepção) para a Companhia de Docas do Ceará. Período da medição: novembro (01/11/2025 a 30/11/2025). Valor total (Serviço): R$ 122.425,24. NF 4596 - Descrição: Contrato no 058/2025 – Serviço de Limpeza e Apoio Administrativo (Coordenador de Terceirizados,</w:t>
      </w:r>
      <w:r>
        <w:rPr>
          <w:spacing w:val="-6"/>
        </w:rPr>
        <w:t> </w:t>
      </w:r>
      <w:r>
        <w:rPr/>
        <w:t>Encarregado</w:t>
      </w:r>
      <w:r>
        <w:rPr>
          <w:spacing w:val="-6"/>
        </w:rPr>
        <w:t> </w:t>
      </w:r>
      <w:r>
        <w:rPr/>
        <w:t>de</w:t>
      </w:r>
      <w:r>
        <w:rPr>
          <w:spacing w:val="-6"/>
        </w:rPr>
        <w:t> </w:t>
      </w:r>
      <w:r>
        <w:rPr/>
        <w:t>Turma,</w:t>
      </w:r>
      <w:r>
        <w:rPr>
          <w:spacing w:val="-6"/>
        </w:rPr>
        <w:t> </w:t>
      </w:r>
      <w:r>
        <w:rPr/>
        <w:t>Motorista</w:t>
      </w:r>
      <w:r>
        <w:rPr>
          <w:spacing w:val="-6"/>
        </w:rPr>
        <w:t> </w:t>
      </w:r>
      <w:r>
        <w:rPr/>
        <w:t>“B”</w:t>
      </w:r>
      <w:r>
        <w:rPr>
          <w:spacing w:val="-6"/>
        </w:rPr>
        <w:t> </w:t>
      </w:r>
      <w:r>
        <w:rPr/>
        <w:t>–</w:t>
      </w:r>
      <w:r>
        <w:rPr>
          <w:spacing w:val="-6"/>
        </w:rPr>
        <w:t> </w:t>
      </w:r>
      <w:r>
        <w:rPr/>
        <w:t>01</w:t>
      </w:r>
      <w:r>
        <w:rPr>
          <w:spacing w:val="-6"/>
        </w:rPr>
        <w:t> </w:t>
      </w:r>
      <w:r>
        <w:rPr/>
        <w:t>a</w:t>
      </w:r>
      <w:r>
        <w:rPr>
          <w:spacing w:val="-6"/>
        </w:rPr>
        <w:t> </w:t>
      </w:r>
      <w:r>
        <w:rPr/>
        <w:t>09</w:t>
      </w:r>
      <w:r>
        <w:rPr>
          <w:spacing w:val="-6"/>
        </w:rPr>
        <w:t> </w:t>
      </w:r>
      <w:r>
        <w:rPr/>
        <w:t>lugares,</w:t>
      </w:r>
      <w:r>
        <w:rPr>
          <w:spacing w:val="-6"/>
        </w:rPr>
        <w:t> </w:t>
      </w:r>
      <w:r>
        <w:rPr/>
        <w:t>Portaria</w:t>
      </w:r>
      <w:r>
        <w:rPr>
          <w:spacing w:val="-6"/>
        </w:rPr>
        <w:t> </w:t>
      </w:r>
      <w:r>
        <w:rPr/>
        <w:t>24h</w:t>
      </w:r>
      <w:r>
        <w:rPr>
          <w:spacing w:val="-6"/>
        </w:rPr>
        <w:t> </w:t>
      </w:r>
      <w:r>
        <w:rPr/>
        <w:t>–</w:t>
      </w:r>
      <w:r>
        <w:rPr>
          <w:spacing w:val="-6"/>
        </w:rPr>
        <w:t> </w:t>
      </w:r>
      <w:r>
        <w:rPr/>
        <w:t>Diurno,</w:t>
      </w:r>
      <w:r>
        <w:rPr>
          <w:spacing w:val="-6"/>
        </w:rPr>
        <w:t> </w:t>
      </w:r>
      <w:r>
        <w:rPr/>
        <w:t>Portaria</w:t>
      </w:r>
      <w:r>
        <w:rPr>
          <w:spacing w:val="-6"/>
        </w:rPr>
        <w:t> </w:t>
      </w:r>
      <w:r>
        <w:rPr/>
        <w:t>24h –</w:t>
      </w:r>
      <w:r>
        <w:rPr>
          <w:spacing w:val="-7"/>
        </w:rPr>
        <w:t> </w:t>
      </w:r>
      <w:r>
        <w:rPr/>
        <w:t>Noturno,</w:t>
      </w:r>
      <w:r>
        <w:rPr>
          <w:spacing w:val="-7"/>
        </w:rPr>
        <w:t> </w:t>
      </w:r>
      <w:r>
        <w:rPr/>
        <w:t>Recepção)</w:t>
      </w:r>
      <w:r>
        <w:rPr>
          <w:spacing w:val="-7"/>
        </w:rPr>
        <w:t> </w:t>
      </w:r>
      <w:r>
        <w:rPr/>
        <w:t>para</w:t>
      </w:r>
      <w:r>
        <w:rPr>
          <w:spacing w:val="-7"/>
        </w:rPr>
        <w:t> </w:t>
      </w:r>
      <w:r>
        <w:rPr/>
        <w:t>a</w:t>
      </w:r>
      <w:r>
        <w:rPr>
          <w:spacing w:val="-7"/>
        </w:rPr>
        <w:t> </w:t>
      </w:r>
      <w:r>
        <w:rPr/>
        <w:t>Companhia</w:t>
      </w:r>
      <w:r>
        <w:rPr>
          <w:spacing w:val="-7"/>
        </w:rPr>
        <w:t> </w:t>
      </w:r>
      <w:r>
        <w:rPr/>
        <w:t>de</w:t>
      </w:r>
      <w:r>
        <w:rPr>
          <w:spacing w:val="-7"/>
        </w:rPr>
        <w:t> </w:t>
      </w:r>
      <w:r>
        <w:rPr/>
        <w:t>Docas</w:t>
      </w:r>
      <w:r>
        <w:rPr>
          <w:spacing w:val="-7"/>
        </w:rPr>
        <w:t> </w:t>
      </w:r>
      <w:r>
        <w:rPr/>
        <w:t>do</w:t>
      </w:r>
      <w:r>
        <w:rPr>
          <w:spacing w:val="-7"/>
        </w:rPr>
        <w:t> </w:t>
      </w:r>
      <w:r>
        <w:rPr/>
        <w:t>Ceará.</w:t>
      </w:r>
      <w:r>
        <w:rPr>
          <w:spacing w:val="-7"/>
        </w:rPr>
        <w:t> </w:t>
      </w:r>
      <w:r>
        <w:rPr/>
        <w:t>Período</w:t>
      </w:r>
      <w:r>
        <w:rPr>
          <w:spacing w:val="-7"/>
        </w:rPr>
        <w:t> </w:t>
      </w:r>
      <w:r>
        <w:rPr/>
        <w:t>da</w:t>
      </w:r>
      <w:r>
        <w:rPr>
          <w:spacing w:val="-7"/>
        </w:rPr>
        <w:t> </w:t>
      </w:r>
      <w:r>
        <w:rPr/>
        <w:t>medição:</w:t>
      </w:r>
      <w:r>
        <w:rPr>
          <w:spacing w:val="-7"/>
        </w:rPr>
        <w:t> </w:t>
      </w:r>
      <w:r>
        <w:rPr/>
        <w:t>Dezembro</w:t>
      </w:r>
      <w:r>
        <w:rPr>
          <w:spacing w:val="-7"/>
        </w:rPr>
        <w:t> </w:t>
      </w:r>
      <w:r>
        <w:rPr/>
        <w:t>(01/12/2025</w:t>
      </w:r>
      <w:r>
        <w:rPr>
          <w:spacing w:val="-7"/>
        </w:rPr>
        <w:t> </w:t>
      </w:r>
      <w:r>
        <w:rPr/>
        <w:t>a 31/12/2025). Valor total (Serviço): R$ 134.286,69. FEVEREIRO: NF 4906 – NOTA 01 – Sem materiais Descrição: Contrato no 058/2025 – Serviço de Limpeza e Apoio Administrativo (Coordenador de Terceirizados,</w:t>
      </w:r>
      <w:r>
        <w:rPr>
          <w:spacing w:val="-6"/>
        </w:rPr>
        <w:t> </w:t>
      </w:r>
      <w:r>
        <w:rPr/>
        <w:t>Encarregado</w:t>
      </w:r>
      <w:r>
        <w:rPr>
          <w:spacing w:val="-6"/>
        </w:rPr>
        <w:t> </w:t>
      </w:r>
      <w:r>
        <w:rPr/>
        <w:t>de</w:t>
      </w:r>
      <w:r>
        <w:rPr>
          <w:spacing w:val="-6"/>
        </w:rPr>
        <w:t> </w:t>
      </w:r>
      <w:r>
        <w:rPr/>
        <w:t>Turma,</w:t>
      </w:r>
      <w:r>
        <w:rPr>
          <w:spacing w:val="-6"/>
        </w:rPr>
        <w:t> </w:t>
      </w:r>
      <w:r>
        <w:rPr/>
        <w:t>Motorista</w:t>
      </w:r>
      <w:r>
        <w:rPr>
          <w:spacing w:val="-6"/>
        </w:rPr>
        <w:t> </w:t>
      </w:r>
      <w:r>
        <w:rPr/>
        <w:t>“B”</w:t>
      </w:r>
      <w:r>
        <w:rPr>
          <w:spacing w:val="-6"/>
        </w:rPr>
        <w:t> </w:t>
      </w:r>
      <w:r>
        <w:rPr/>
        <w:t>–</w:t>
      </w:r>
      <w:r>
        <w:rPr>
          <w:spacing w:val="-6"/>
        </w:rPr>
        <w:t> </w:t>
      </w:r>
      <w:r>
        <w:rPr/>
        <w:t>01</w:t>
      </w:r>
      <w:r>
        <w:rPr>
          <w:spacing w:val="-6"/>
        </w:rPr>
        <w:t> </w:t>
      </w:r>
      <w:r>
        <w:rPr/>
        <w:t>a</w:t>
      </w:r>
      <w:r>
        <w:rPr>
          <w:spacing w:val="-6"/>
        </w:rPr>
        <w:t> </w:t>
      </w:r>
      <w:r>
        <w:rPr/>
        <w:t>09</w:t>
      </w:r>
      <w:r>
        <w:rPr>
          <w:spacing w:val="-6"/>
        </w:rPr>
        <w:t> </w:t>
      </w:r>
      <w:r>
        <w:rPr/>
        <w:t>lugares,</w:t>
      </w:r>
      <w:r>
        <w:rPr>
          <w:spacing w:val="-6"/>
        </w:rPr>
        <w:t> </w:t>
      </w:r>
      <w:r>
        <w:rPr/>
        <w:t>Portaria</w:t>
      </w:r>
      <w:r>
        <w:rPr>
          <w:spacing w:val="-6"/>
        </w:rPr>
        <w:t> </w:t>
      </w:r>
      <w:r>
        <w:rPr/>
        <w:t>24h</w:t>
      </w:r>
      <w:r>
        <w:rPr>
          <w:spacing w:val="-6"/>
        </w:rPr>
        <w:t> </w:t>
      </w:r>
      <w:r>
        <w:rPr/>
        <w:t>–</w:t>
      </w:r>
      <w:r>
        <w:rPr>
          <w:spacing w:val="-6"/>
        </w:rPr>
        <w:t> </w:t>
      </w:r>
      <w:r>
        <w:rPr/>
        <w:t>Diurno,</w:t>
      </w:r>
      <w:r>
        <w:rPr>
          <w:spacing w:val="-6"/>
        </w:rPr>
        <w:t> </w:t>
      </w:r>
      <w:r>
        <w:rPr/>
        <w:t>Portaria</w:t>
      </w:r>
      <w:r>
        <w:rPr>
          <w:spacing w:val="-6"/>
        </w:rPr>
        <w:t> </w:t>
      </w:r>
      <w:r>
        <w:rPr/>
        <w:t>24h – Noturno, Recepção) para a Companhia de Docas do Ceará. Período da medição: Janeiro (01/01/2026 a </w:t>
      </w:r>
      <w:r>
        <w:rPr>
          <w:spacing w:val="-2"/>
        </w:rPr>
        <w:t>31/01/2026)</w:t>
      </w:r>
    </w:p>
    <w:p>
      <w:pPr>
        <w:pStyle w:val="BodyText"/>
        <w:spacing w:before="95"/>
        <w:ind w:right="244"/>
        <w:jc w:val="both"/>
      </w:pPr>
      <w:r>
        <w:rPr/>
        <w:t>O Conselho ressalta a inadequação da resposta enviada e solicita esclarecimentos acerca dos motivos que ocasionaram problemas na medição dos serviços de limpeza e conservação, bem como dos serviços de recepção, portaria e motorista.</w:t>
      </w:r>
    </w:p>
    <w:p>
      <w:pPr>
        <w:pStyle w:val="BodyText"/>
        <w:spacing w:before="232"/>
        <w:ind w:left="0"/>
      </w:pPr>
    </w:p>
    <w:p>
      <w:pPr>
        <w:pStyle w:val="Heading2"/>
        <w:spacing w:line="275" w:lineRule="exact"/>
        <w:jc w:val="both"/>
      </w:pPr>
      <w:r>
        <w:rPr>
          <w:u w:val="single"/>
        </w:rPr>
        <w:t>Análise</w:t>
      </w:r>
      <w:r>
        <w:rPr>
          <w:spacing w:val="-5"/>
          <w:u w:val="single"/>
        </w:rPr>
        <w:t> </w:t>
      </w:r>
      <w:r>
        <w:rPr>
          <w:u w:val="single"/>
        </w:rPr>
        <w:t>do</w:t>
      </w:r>
      <w:r>
        <w:rPr>
          <w:spacing w:val="-4"/>
          <w:u w:val="single"/>
        </w:rPr>
        <w:t> </w:t>
      </w:r>
      <w:r>
        <w:rPr>
          <w:u w:val="single"/>
        </w:rPr>
        <w:t>Balancete</w:t>
      </w:r>
      <w:r>
        <w:rPr>
          <w:spacing w:val="-4"/>
          <w:u w:val="single"/>
        </w:rPr>
        <w:t> </w:t>
      </w:r>
      <w:r>
        <w:rPr>
          <w:u w:val="single"/>
        </w:rPr>
        <w:t>e</w:t>
      </w:r>
      <w:r>
        <w:rPr>
          <w:spacing w:val="-4"/>
          <w:u w:val="single"/>
        </w:rPr>
        <w:t> </w:t>
      </w:r>
      <w:r>
        <w:rPr>
          <w:u w:val="single"/>
        </w:rPr>
        <w:t>acompanhamento</w:t>
      </w:r>
      <w:r>
        <w:rPr>
          <w:spacing w:val="-4"/>
          <w:u w:val="single"/>
        </w:rPr>
        <w:t> </w:t>
      </w:r>
      <w:r>
        <w:rPr>
          <w:u w:val="single"/>
        </w:rPr>
        <w:t>mensal</w:t>
      </w:r>
      <w:r>
        <w:rPr>
          <w:spacing w:val="-4"/>
          <w:u w:val="single"/>
        </w:rPr>
        <w:t> </w:t>
      </w:r>
      <w:r>
        <w:rPr>
          <w:u w:val="single"/>
        </w:rPr>
        <w:t>dos</w:t>
      </w:r>
      <w:r>
        <w:rPr>
          <w:spacing w:val="-4"/>
          <w:u w:val="single"/>
        </w:rPr>
        <w:t> </w:t>
      </w:r>
      <w:r>
        <w:rPr>
          <w:u w:val="single"/>
        </w:rPr>
        <w:t>resultados</w:t>
      </w:r>
      <w:r>
        <w:rPr>
          <w:spacing w:val="-4"/>
          <w:u w:val="single"/>
        </w:rPr>
        <w:t> </w:t>
      </w:r>
      <w:r>
        <w:rPr>
          <w:u w:val="single"/>
        </w:rPr>
        <w:t>econômicos</w:t>
      </w:r>
      <w:r>
        <w:rPr>
          <w:spacing w:val="-4"/>
          <w:u w:val="single"/>
        </w:rPr>
        <w:t> </w:t>
      </w:r>
      <w:r>
        <w:rPr>
          <w:u w:val="single"/>
        </w:rPr>
        <w:t>–</w:t>
      </w:r>
      <w:r>
        <w:rPr>
          <w:spacing w:val="-4"/>
          <w:u w:val="single"/>
        </w:rPr>
        <w:t> </w:t>
      </w:r>
      <w:r>
        <w:rPr>
          <w:u w:val="single"/>
        </w:rPr>
        <w:t>financeiros</w:t>
      </w:r>
      <w:r>
        <w:rPr>
          <w:spacing w:val="-5"/>
          <w:u w:val="single"/>
        </w:rPr>
        <w:t> </w:t>
      </w:r>
      <w:r>
        <w:rPr>
          <w:u w:val="single"/>
        </w:rPr>
        <w:t>–</w:t>
      </w:r>
      <w:r>
        <w:rPr>
          <w:spacing w:val="-4"/>
          <w:u w:val="single"/>
        </w:rPr>
        <w:t> </w:t>
      </w:r>
      <w:r>
        <w:rPr>
          <w:spacing w:val="-2"/>
          <w:u w:val="single"/>
        </w:rPr>
        <w:t>fevereiro</w:t>
      </w:r>
    </w:p>
    <w:p>
      <w:pPr>
        <w:pStyle w:val="BodyText"/>
        <w:ind w:right="241"/>
        <w:jc w:val="both"/>
      </w:pPr>
      <w:r>
        <w:rPr>
          <w:b/>
          <w:u w:val="single"/>
        </w:rPr>
        <w:t>/</w:t>
      </w:r>
      <w:r>
        <w:rPr>
          <w:b/>
          <w:spacing w:val="-2"/>
          <w:u w:val="single"/>
        </w:rPr>
        <w:t> </w:t>
      </w:r>
      <w:r>
        <w:rPr>
          <w:b/>
          <w:u w:val="single"/>
        </w:rPr>
        <w:t>2026</w:t>
      </w:r>
      <w:r>
        <w:rPr>
          <w:b/>
          <w:spacing w:val="-2"/>
          <w:u w:val="single"/>
        </w:rPr>
        <w:t> </w:t>
      </w:r>
      <w:r>
        <w:rPr>
          <w:b/>
          <w:u w:val="single"/>
        </w:rPr>
        <w:t>-</w:t>
      </w:r>
      <w:r>
        <w:rPr>
          <w:b/>
          <w:spacing w:val="-2"/>
          <w:u w:val="single"/>
        </w:rPr>
        <w:t> </w:t>
      </w:r>
      <w:r>
        <w:rPr>
          <w:b/>
          <w:u w:val="single"/>
        </w:rPr>
        <w:t>Seguros</w:t>
      </w:r>
      <w:r>
        <w:rPr>
          <w:b/>
          <w:spacing w:val="-2"/>
          <w:u w:val="single"/>
        </w:rPr>
        <w:t> </w:t>
      </w:r>
      <w:r>
        <w:rPr>
          <w:b/>
          <w:u w:val="single"/>
        </w:rPr>
        <w:t>-</w:t>
      </w:r>
      <w:r>
        <w:rPr>
          <w:b/>
          <w:spacing w:val="-9"/>
        </w:rPr>
        <w:t> </w:t>
      </w:r>
      <w:r>
        <w:rPr/>
        <w:t>A</w:t>
      </w:r>
      <w:r>
        <w:rPr>
          <w:spacing w:val="-14"/>
        </w:rPr>
        <w:t> </w:t>
      </w:r>
      <w:r>
        <w:rPr/>
        <w:t>DIREXE,</w:t>
      </w:r>
      <w:r>
        <w:rPr>
          <w:spacing w:val="-2"/>
        </w:rPr>
        <w:t> </w:t>
      </w:r>
      <w:r>
        <w:rPr/>
        <w:t>através</w:t>
      </w:r>
      <w:r>
        <w:rPr>
          <w:spacing w:val="-2"/>
        </w:rPr>
        <w:t> </w:t>
      </w:r>
      <w:r>
        <w:rPr/>
        <w:t>do</w:t>
      </w:r>
      <w:r>
        <w:rPr>
          <w:spacing w:val="-2"/>
        </w:rPr>
        <w:t> </w:t>
      </w:r>
      <w:r>
        <w:rPr/>
        <w:t>Comunicado</w:t>
      </w:r>
      <w:r>
        <w:rPr>
          <w:spacing w:val="-2"/>
        </w:rPr>
        <w:t> </w:t>
      </w:r>
      <w:r>
        <w:rPr/>
        <w:t>nº</w:t>
      </w:r>
      <w:r>
        <w:rPr>
          <w:spacing w:val="-2"/>
        </w:rPr>
        <w:t> </w:t>
      </w:r>
      <w:r>
        <w:rPr/>
        <w:t>6/2026/DIREXE-CDC,</w:t>
      </w:r>
      <w:r>
        <w:rPr>
          <w:spacing w:val="-2"/>
        </w:rPr>
        <w:t> </w:t>
      </w:r>
      <w:r>
        <w:rPr/>
        <w:t>informou</w:t>
      </w:r>
      <w:r>
        <w:rPr>
          <w:spacing w:val="-2"/>
        </w:rPr>
        <w:t> </w:t>
      </w:r>
      <w:r>
        <w:rPr/>
        <w:t>que</w:t>
      </w:r>
      <w:r>
        <w:rPr>
          <w:spacing w:val="-2"/>
        </w:rPr>
        <w:t> </w:t>
      </w:r>
      <w:r>
        <w:rPr/>
        <w:t>a</w:t>
      </w:r>
      <w:r>
        <w:rPr>
          <w:spacing w:val="-2"/>
        </w:rPr>
        <w:t> </w:t>
      </w:r>
      <w:r>
        <w:rPr/>
        <w:t>ausência de registro em fevereiro ocorreu devido não haver saldo a apropriar naquela data, conforme razão contábil </w:t>
      </w:r>
      <w:r>
        <w:rPr>
          <w:spacing w:val="-2"/>
        </w:rPr>
        <w:t>anexo.</w:t>
      </w:r>
    </w:p>
    <w:p>
      <w:pPr>
        <w:pStyle w:val="BodyText"/>
        <w:spacing w:before="113"/>
        <w:ind w:right="244"/>
        <w:jc w:val="both"/>
      </w:pPr>
      <w:r>
        <w:rPr/>
        <w:t>O Conselho ressalta a inadequação da resposta apresentada e solicita esclarecimentos acerca dos motivos pelos quais a documentação não foi apresentada, considerando que, salvo engano, o seguro possui periodicidade mensal.</w:t>
      </w:r>
    </w:p>
    <w:p>
      <w:pPr>
        <w:pStyle w:val="BodyText"/>
        <w:spacing w:before="231"/>
        <w:ind w:left="0"/>
      </w:pPr>
    </w:p>
    <w:p>
      <w:pPr>
        <w:pStyle w:val="Heading2"/>
        <w:spacing w:line="275" w:lineRule="exact"/>
        <w:jc w:val="both"/>
      </w:pPr>
      <w:r>
        <w:rPr>
          <w:u w:val="single"/>
        </w:rPr>
        <w:t>Análise</w:t>
      </w:r>
      <w:r>
        <w:rPr>
          <w:spacing w:val="-5"/>
          <w:u w:val="single"/>
        </w:rPr>
        <w:t> </w:t>
      </w:r>
      <w:r>
        <w:rPr>
          <w:u w:val="single"/>
        </w:rPr>
        <w:t>do</w:t>
      </w:r>
      <w:r>
        <w:rPr>
          <w:spacing w:val="-4"/>
          <w:u w:val="single"/>
        </w:rPr>
        <w:t> </w:t>
      </w:r>
      <w:r>
        <w:rPr>
          <w:u w:val="single"/>
        </w:rPr>
        <w:t>Balancete</w:t>
      </w:r>
      <w:r>
        <w:rPr>
          <w:spacing w:val="-4"/>
          <w:u w:val="single"/>
        </w:rPr>
        <w:t> </w:t>
      </w:r>
      <w:r>
        <w:rPr>
          <w:u w:val="single"/>
        </w:rPr>
        <w:t>e</w:t>
      </w:r>
      <w:r>
        <w:rPr>
          <w:spacing w:val="-4"/>
          <w:u w:val="single"/>
        </w:rPr>
        <w:t> </w:t>
      </w:r>
      <w:r>
        <w:rPr>
          <w:u w:val="single"/>
        </w:rPr>
        <w:t>acompanhamento</w:t>
      </w:r>
      <w:r>
        <w:rPr>
          <w:spacing w:val="-4"/>
          <w:u w:val="single"/>
        </w:rPr>
        <w:t> </w:t>
      </w:r>
      <w:r>
        <w:rPr>
          <w:u w:val="single"/>
        </w:rPr>
        <w:t>mensal</w:t>
      </w:r>
      <w:r>
        <w:rPr>
          <w:spacing w:val="-4"/>
          <w:u w:val="single"/>
        </w:rPr>
        <w:t> </w:t>
      </w:r>
      <w:r>
        <w:rPr>
          <w:u w:val="single"/>
        </w:rPr>
        <w:t>dos</w:t>
      </w:r>
      <w:r>
        <w:rPr>
          <w:spacing w:val="-4"/>
          <w:u w:val="single"/>
        </w:rPr>
        <w:t> </w:t>
      </w:r>
      <w:r>
        <w:rPr>
          <w:u w:val="single"/>
        </w:rPr>
        <w:t>resultados</w:t>
      </w:r>
      <w:r>
        <w:rPr>
          <w:spacing w:val="-4"/>
          <w:u w:val="single"/>
        </w:rPr>
        <w:t> </w:t>
      </w:r>
      <w:r>
        <w:rPr>
          <w:u w:val="single"/>
        </w:rPr>
        <w:t>econômicos</w:t>
      </w:r>
      <w:r>
        <w:rPr>
          <w:spacing w:val="-4"/>
          <w:u w:val="single"/>
        </w:rPr>
        <w:t> </w:t>
      </w:r>
      <w:r>
        <w:rPr>
          <w:u w:val="single"/>
        </w:rPr>
        <w:t>–</w:t>
      </w:r>
      <w:r>
        <w:rPr>
          <w:spacing w:val="-4"/>
          <w:u w:val="single"/>
        </w:rPr>
        <w:t> </w:t>
      </w:r>
      <w:r>
        <w:rPr>
          <w:u w:val="single"/>
        </w:rPr>
        <w:t>financeiros</w:t>
      </w:r>
      <w:r>
        <w:rPr>
          <w:spacing w:val="-5"/>
          <w:u w:val="single"/>
        </w:rPr>
        <w:t> </w:t>
      </w:r>
      <w:r>
        <w:rPr>
          <w:u w:val="single"/>
        </w:rPr>
        <w:t>–</w:t>
      </w:r>
      <w:r>
        <w:rPr>
          <w:spacing w:val="-4"/>
          <w:u w:val="single"/>
        </w:rPr>
        <w:t> </w:t>
      </w:r>
      <w:r>
        <w:rPr>
          <w:spacing w:val="-2"/>
          <w:u w:val="single"/>
        </w:rPr>
        <w:t>fevereiro</w:t>
      </w:r>
    </w:p>
    <w:p>
      <w:pPr>
        <w:pStyle w:val="BodyText"/>
        <w:ind w:right="251"/>
        <w:jc w:val="both"/>
      </w:pPr>
      <w:r>
        <w:rPr>
          <w:b/>
          <w:u w:val="single"/>
        </w:rPr>
        <w:t>/ 2026 - Multas e autos de infração</w:t>
      </w:r>
      <w:r>
        <w:rPr>
          <w:b/>
          <w:spacing w:val="-6"/>
          <w:u w:val="single"/>
        </w:rPr>
        <w:t> </w:t>
      </w:r>
      <w:r>
        <w:rPr>
          <w:b/>
          <w:u w:val="single"/>
        </w:rPr>
        <w:t>ANTAQ -</w:t>
      </w:r>
      <w:r>
        <w:rPr>
          <w:b/>
        </w:rPr>
        <w:t> </w:t>
      </w:r>
      <w:r>
        <w:rPr/>
        <w:t>A</w:t>
      </w:r>
      <w:r>
        <w:rPr>
          <w:spacing w:val="-4"/>
        </w:rPr>
        <w:t> </w:t>
      </w:r>
      <w:r>
        <w:rPr/>
        <w:t>DIREXE, através do Comunicado nº 6/2026/DIREXE- CDC,</w:t>
      </w:r>
      <w:r>
        <w:rPr>
          <w:spacing w:val="-3"/>
        </w:rPr>
        <w:t> </w:t>
      </w:r>
      <w:r>
        <w:rPr/>
        <w:t>informou</w:t>
      </w:r>
      <w:r>
        <w:rPr>
          <w:spacing w:val="-3"/>
        </w:rPr>
        <w:t> </w:t>
      </w:r>
      <w:r>
        <w:rPr/>
        <w:t>que</w:t>
      </w:r>
      <w:r>
        <w:rPr>
          <w:spacing w:val="-3"/>
        </w:rPr>
        <w:t> </w:t>
      </w:r>
      <w:r>
        <w:rPr/>
        <w:t>o</w:t>
      </w:r>
      <w:r>
        <w:rPr>
          <w:spacing w:val="-3"/>
        </w:rPr>
        <w:t> </w:t>
      </w:r>
      <w:r>
        <w:rPr/>
        <w:t>pagamento</w:t>
      </w:r>
      <w:r>
        <w:rPr>
          <w:spacing w:val="-3"/>
        </w:rPr>
        <w:t> </w:t>
      </w:r>
      <w:r>
        <w:rPr/>
        <w:t>refere-se</w:t>
      </w:r>
      <w:r>
        <w:rPr>
          <w:spacing w:val="-3"/>
        </w:rPr>
        <w:t> </w:t>
      </w:r>
      <w:r>
        <w:rPr/>
        <w:t>à</w:t>
      </w:r>
      <w:r>
        <w:rPr>
          <w:spacing w:val="-3"/>
        </w:rPr>
        <w:t> </w:t>
      </w:r>
      <w:r>
        <w:rPr/>
        <w:t>aplicação</w:t>
      </w:r>
      <w:r>
        <w:rPr>
          <w:spacing w:val="-3"/>
        </w:rPr>
        <w:t> </w:t>
      </w:r>
      <w:r>
        <w:rPr/>
        <w:t>de</w:t>
      </w:r>
      <w:r>
        <w:rPr>
          <w:spacing w:val="-3"/>
        </w:rPr>
        <w:t> </w:t>
      </w:r>
      <w:r>
        <w:rPr/>
        <w:t>multa</w:t>
      </w:r>
      <w:r>
        <w:rPr>
          <w:spacing w:val="-3"/>
        </w:rPr>
        <w:t> </w:t>
      </w:r>
      <w:r>
        <w:rPr/>
        <w:t>pecuniária,</w:t>
      </w:r>
      <w:r>
        <w:rPr>
          <w:spacing w:val="-3"/>
        </w:rPr>
        <w:t> </w:t>
      </w:r>
      <w:r>
        <w:rPr/>
        <w:t>emitida</w:t>
      </w:r>
      <w:r>
        <w:rPr>
          <w:spacing w:val="-3"/>
        </w:rPr>
        <w:t> </w:t>
      </w:r>
      <w:r>
        <w:rPr/>
        <w:t>pela</w:t>
      </w:r>
      <w:r>
        <w:rPr>
          <w:spacing w:val="-13"/>
        </w:rPr>
        <w:t> </w:t>
      </w:r>
      <w:r>
        <w:rPr/>
        <w:t>Agência</w:t>
      </w:r>
      <w:r>
        <w:rPr>
          <w:spacing w:val="-3"/>
        </w:rPr>
        <w:t> </w:t>
      </w:r>
      <w:r>
        <w:rPr/>
        <w:t>Nacional de Transportes</w:t>
      </w:r>
      <w:r>
        <w:rPr>
          <w:spacing w:val="-1"/>
        </w:rPr>
        <w:t> </w:t>
      </w:r>
      <w:r>
        <w:rPr/>
        <w:t>Aquaviários, por não manter em bom estado de conservação o Píer Petroleiro do Porto de Fortaleza, quais sejam: ponte de acesso, plataforma de atracação, caixa de drenagem de resíduos oleosos, Casa de Bombas do Sistema de Combate a Incêndio e estrutura da Subestação de Energia.</w:t>
      </w:r>
    </w:p>
    <w:p>
      <w:pPr>
        <w:pStyle w:val="BodyText"/>
        <w:spacing w:before="110"/>
        <w:ind w:right="245"/>
        <w:jc w:val="both"/>
      </w:pPr>
      <w:r>
        <w:rPr/>
        <w:t>O Conselho solicita informar se houve notificação prévia, bem como que sejam especificadas quais providências</w:t>
      </w:r>
      <w:r>
        <w:rPr>
          <w:spacing w:val="-5"/>
        </w:rPr>
        <w:t> </w:t>
      </w:r>
      <w:r>
        <w:rPr/>
        <w:t>foram</w:t>
      </w:r>
      <w:r>
        <w:rPr>
          <w:spacing w:val="-5"/>
        </w:rPr>
        <w:t> </w:t>
      </w:r>
      <w:r>
        <w:rPr/>
        <w:t>adotadas</w:t>
      </w:r>
      <w:r>
        <w:rPr>
          <w:spacing w:val="-5"/>
        </w:rPr>
        <w:t> </w:t>
      </w:r>
      <w:r>
        <w:rPr/>
        <w:t>e</w:t>
      </w:r>
      <w:r>
        <w:rPr>
          <w:spacing w:val="-5"/>
        </w:rPr>
        <w:t> </w:t>
      </w:r>
      <w:r>
        <w:rPr/>
        <w:t>se</w:t>
      </w:r>
      <w:r>
        <w:rPr>
          <w:spacing w:val="-5"/>
        </w:rPr>
        <w:t> </w:t>
      </w:r>
      <w:r>
        <w:rPr/>
        <w:t>foi</w:t>
      </w:r>
      <w:r>
        <w:rPr>
          <w:spacing w:val="-5"/>
        </w:rPr>
        <w:t> </w:t>
      </w:r>
      <w:r>
        <w:rPr/>
        <w:t>apresentado</w:t>
      </w:r>
      <w:r>
        <w:rPr>
          <w:spacing w:val="-5"/>
        </w:rPr>
        <w:t> </w:t>
      </w:r>
      <w:r>
        <w:rPr/>
        <w:t>recurso,</w:t>
      </w:r>
      <w:r>
        <w:rPr>
          <w:spacing w:val="-5"/>
        </w:rPr>
        <w:t> </w:t>
      </w:r>
      <w:r>
        <w:rPr/>
        <w:t>considerando</w:t>
      </w:r>
      <w:r>
        <w:rPr>
          <w:spacing w:val="-5"/>
        </w:rPr>
        <w:t> </w:t>
      </w:r>
      <w:r>
        <w:rPr/>
        <w:t>tratar-se</w:t>
      </w:r>
      <w:r>
        <w:rPr>
          <w:spacing w:val="-5"/>
        </w:rPr>
        <w:t> </w:t>
      </w:r>
      <w:r>
        <w:rPr/>
        <w:t>de</w:t>
      </w:r>
      <w:r>
        <w:rPr>
          <w:spacing w:val="-5"/>
        </w:rPr>
        <w:t> </w:t>
      </w:r>
      <w:r>
        <w:rPr/>
        <w:t>multa</w:t>
      </w:r>
      <w:r>
        <w:rPr>
          <w:spacing w:val="-5"/>
        </w:rPr>
        <w:t> </w:t>
      </w:r>
      <w:r>
        <w:rPr/>
        <w:t>por</w:t>
      </w:r>
      <w:r>
        <w:rPr>
          <w:spacing w:val="-5"/>
        </w:rPr>
        <w:t> </w:t>
      </w:r>
      <w:r>
        <w:rPr/>
        <w:t>reincidência.</w:t>
      </w:r>
    </w:p>
    <w:p>
      <w:pPr>
        <w:pStyle w:val="BodyText"/>
        <w:spacing w:before="116"/>
        <w:jc w:val="both"/>
      </w:pPr>
      <w:r>
        <w:rPr/>
        <w:t>Solicita,</w:t>
      </w:r>
      <w:r>
        <w:rPr>
          <w:spacing w:val="-11"/>
        </w:rPr>
        <w:t> </w:t>
      </w:r>
      <w:r>
        <w:rPr/>
        <w:t>ainda,</w:t>
      </w:r>
      <w:r>
        <w:rPr>
          <w:spacing w:val="-10"/>
        </w:rPr>
        <w:t> </w:t>
      </w:r>
      <w:r>
        <w:rPr/>
        <w:t>que</w:t>
      </w:r>
      <w:r>
        <w:rPr>
          <w:spacing w:val="-11"/>
        </w:rPr>
        <w:t> </w:t>
      </w:r>
      <w:r>
        <w:rPr/>
        <w:t>seja</w:t>
      </w:r>
      <w:r>
        <w:rPr>
          <w:spacing w:val="-10"/>
        </w:rPr>
        <w:t> </w:t>
      </w:r>
      <w:r>
        <w:rPr/>
        <w:t>realizada</w:t>
      </w:r>
      <w:r>
        <w:rPr>
          <w:spacing w:val="-10"/>
        </w:rPr>
        <w:t> </w:t>
      </w:r>
      <w:r>
        <w:rPr/>
        <w:t>apuração</w:t>
      </w:r>
      <w:r>
        <w:rPr>
          <w:spacing w:val="-11"/>
        </w:rPr>
        <w:t> </w:t>
      </w:r>
      <w:r>
        <w:rPr/>
        <w:t>de</w:t>
      </w:r>
      <w:r>
        <w:rPr>
          <w:spacing w:val="-10"/>
        </w:rPr>
        <w:t> </w:t>
      </w:r>
      <w:r>
        <w:rPr>
          <w:spacing w:val="-2"/>
        </w:rPr>
        <w:t>responsabilidade.</w:t>
      </w:r>
    </w:p>
    <w:p>
      <w:pPr>
        <w:pStyle w:val="BodyText"/>
        <w:spacing w:before="235"/>
        <w:ind w:left="0"/>
      </w:pPr>
    </w:p>
    <w:p>
      <w:pPr>
        <w:pStyle w:val="Heading2"/>
        <w:spacing w:line="275" w:lineRule="exact"/>
        <w:jc w:val="both"/>
      </w:pPr>
      <w:r>
        <w:rPr>
          <w:u w:val="single"/>
        </w:rPr>
        <w:t>Análise</w:t>
      </w:r>
      <w:r>
        <w:rPr>
          <w:spacing w:val="-5"/>
          <w:u w:val="single"/>
        </w:rPr>
        <w:t> </w:t>
      </w:r>
      <w:r>
        <w:rPr>
          <w:u w:val="single"/>
        </w:rPr>
        <w:t>do</w:t>
      </w:r>
      <w:r>
        <w:rPr>
          <w:spacing w:val="-4"/>
          <w:u w:val="single"/>
        </w:rPr>
        <w:t> </w:t>
      </w:r>
      <w:r>
        <w:rPr>
          <w:u w:val="single"/>
        </w:rPr>
        <w:t>Balancete</w:t>
      </w:r>
      <w:r>
        <w:rPr>
          <w:spacing w:val="-4"/>
          <w:u w:val="single"/>
        </w:rPr>
        <w:t> </w:t>
      </w:r>
      <w:r>
        <w:rPr>
          <w:u w:val="single"/>
        </w:rPr>
        <w:t>e</w:t>
      </w:r>
      <w:r>
        <w:rPr>
          <w:spacing w:val="-4"/>
          <w:u w:val="single"/>
        </w:rPr>
        <w:t> </w:t>
      </w:r>
      <w:r>
        <w:rPr>
          <w:u w:val="single"/>
        </w:rPr>
        <w:t>acompanhamento</w:t>
      </w:r>
      <w:r>
        <w:rPr>
          <w:spacing w:val="-4"/>
          <w:u w:val="single"/>
        </w:rPr>
        <w:t> </w:t>
      </w:r>
      <w:r>
        <w:rPr>
          <w:u w:val="single"/>
        </w:rPr>
        <w:t>mensal</w:t>
      </w:r>
      <w:r>
        <w:rPr>
          <w:spacing w:val="-4"/>
          <w:u w:val="single"/>
        </w:rPr>
        <w:t> </w:t>
      </w:r>
      <w:r>
        <w:rPr>
          <w:u w:val="single"/>
        </w:rPr>
        <w:t>dos</w:t>
      </w:r>
      <w:r>
        <w:rPr>
          <w:spacing w:val="-4"/>
          <w:u w:val="single"/>
        </w:rPr>
        <w:t> </w:t>
      </w:r>
      <w:r>
        <w:rPr>
          <w:u w:val="single"/>
        </w:rPr>
        <w:t>resultados</w:t>
      </w:r>
      <w:r>
        <w:rPr>
          <w:spacing w:val="-4"/>
          <w:u w:val="single"/>
        </w:rPr>
        <w:t> </w:t>
      </w:r>
      <w:r>
        <w:rPr>
          <w:u w:val="single"/>
        </w:rPr>
        <w:t>econômicos</w:t>
      </w:r>
      <w:r>
        <w:rPr>
          <w:spacing w:val="-4"/>
          <w:u w:val="single"/>
        </w:rPr>
        <w:t> </w:t>
      </w:r>
      <w:r>
        <w:rPr>
          <w:u w:val="single"/>
        </w:rPr>
        <w:t>–</w:t>
      </w:r>
      <w:r>
        <w:rPr>
          <w:spacing w:val="-4"/>
          <w:u w:val="single"/>
        </w:rPr>
        <w:t> </w:t>
      </w:r>
      <w:r>
        <w:rPr>
          <w:u w:val="single"/>
        </w:rPr>
        <w:t>financeiros</w:t>
      </w:r>
      <w:r>
        <w:rPr>
          <w:spacing w:val="-5"/>
          <w:u w:val="single"/>
        </w:rPr>
        <w:t> </w:t>
      </w:r>
      <w:r>
        <w:rPr>
          <w:u w:val="single"/>
        </w:rPr>
        <w:t>–</w:t>
      </w:r>
      <w:r>
        <w:rPr>
          <w:spacing w:val="-4"/>
          <w:u w:val="single"/>
        </w:rPr>
        <w:t> </w:t>
      </w:r>
      <w:r>
        <w:rPr>
          <w:spacing w:val="-2"/>
          <w:u w:val="single"/>
        </w:rPr>
        <w:t>fevereiro</w:t>
      </w:r>
    </w:p>
    <w:p>
      <w:pPr>
        <w:pStyle w:val="BodyText"/>
        <w:ind w:right="240"/>
        <w:jc w:val="both"/>
      </w:pPr>
      <w:r>
        <w:rPr>
          <w:b/>
          <w:u w:val="single"/>
        </w:rPr>
        <w:t>/ 2026 - Juros e multas por atraso de pagamentos -</w:t>
      </w:r>
      <w:r>
        <w:rPr>
          <w:b/>
        </w:rPr>
        <w:t> </w:t>
      </w:r>
      <w:r>
        <w:rPr/>
        <w:t>A DIREXE, através do Comunicado nº 6/2026/DIREXE-CDC,</w:t>
      </w:r>
      <w:r>
        <w:rPr>
          <w:spacing w:val="-7"/>
        </w:rPr>
        <w:t> </w:t>
      </w:r>
      <w:r>
        <w:rPr/>
        <w:t>informou</w:t>
      </w:r>
      <w:r>
        <w:rPr>
          <w:spacing w:val="-7"/>
        </w:rPr>
        <w:t> </w:t>
      </w:r>
      <w:r>
        <w:rPr/>
        <w:t>que</w:t>
      </w:r>
      <w:r>
        <w:rPr>
          <w:spacing w:val="-7"/>
        </w:rPr>
        <w:t> </w:t>
      </w:r>
      <w:r>
        <w:rPr/>
        <w:t>o</w:t>
      </w:r>
      <w:r>
        <w:rPr>
          <w:spacing w:val="-7"/>
        </w:rPr>
        <w:t> </w:t>
      </w:r>
      <w:r>
        <w:rPr/>
        <w:t>pagamento</w:t>
      </w:r>
      <w:r>
        <w:rPr>
          <w:spacing w:val="-7"/>
        </w:rPr>
        <w:t> </w:t>
      </w:r>
      <w:r>
        <w:rPr/>
        <w:t>refere-se</w:t>
      </w:r>
      <w:r>
        <w:rPr>
          <w:spacing w:val="-7"/>
        </w:rPr>
        <w:t> </w:t>
      </w:r>
      <w:r>
        <w:rPr/>
        <w:t>à</w:t>
      </w:r>
      <w:r>
        <w:rPr>
          <w:spacing w:val="-7"/>
        </w:rPr>
        <w:t> </w:t>
      </w:r>
      <w:r>
        <w:rPr/>
        <w:t>mora/multa</w:t>
      </w:r>
      <w:r>
        <w:rPr>
          <w:spacing w:val="-7"/>
        </w:rPr>
        <w:t> </w:t>
      </w:r>
      <w:r>
        <w:rPr/>
        <w:t>cobrado</w:t>
      </w:r>
      <w:r>
        <w:rPr>
          <w:spacing w:val="-7"/>
        </w:rPr>
        <w:t> </w:t>
      </w:r>
      <w:r>
        <w:rPr/>
        <w:t>no</w:t>
      </w:r>
      <w:r>
        <w:rPr>
          <w:spacing w:val="-7"/>
        </w:rPr>
        <w:t> </w:t>
      </w:r>
      <w:r>
        <w:rPr/>
        <w:t>pagamento</w:t>
      </w:r>
      <w:r>
        <w:rPr>
          <w:spacing w:val="-7"/>
        </w:rPr>
        <w:t> </w:t>
      </w:r>
      <w:r>
        <w:rPr/>
        <w:t>realizado à Agência Nacional de Transportes Aquaviários, já discriminado no item anterior. Ocorre que a CDC só tomou conhecimento da multa pecuniária, quando do recebimento de e-mail da ANTAQ, após o vencimento inicial da GRU, o que ocasionou a cobrança de mora/multa adicional. (Processo </w:t>
      </w:r>
      <w:r>
        <w:rPr>
          <w:spacing w:val="-2"/>
        </w:rPr>
        <w:t>50900.00907/2025-60).</w:t>
      </w:r>
    </w:p>
    <w:p>
      <w:pPr>
        <w:pStyle w:val="BodyText"/>
        <w:spacing w:before="108"/>
        <w:ind w:right="239"/>
        <w:jc w:val="both"/>
      </w:pPr>
      <w:r>
        <w:rPr/>
        <w:t>O Conselho solicita esclarecimentos acerca dos motivos do atraso, informando se houve autuação, em que data</w:t>
      </w:r>
      <w:r>
        <w:rPr>
          <w:spacing w:val="-1"/>
        </w:rPr>
        <w:t> </w:t>
      </w:r>
      <w:r>
        <w:rPr/>
        <w:t>ocorreu,</w:t>
      </w:r>
      <w:r>
        <w:rPr>
          <w:spacing w:val="-1"/>
        </w:rPr>
        <w:t> </w:t>
      </w:r>
      <w:r>
        <w:rPr/>
        <w:t>por</w:t>
      </w:r>
      <w:r>
        <w:rPr>
          <w:spacing w:val="-1"/>
        </w:rPr>
        <w:t> </w:t>
      </w:r>
      <w:r>
        <w:rPr/>
        <w:t>quem</w:t>
      </w:r>
      <w:r>
        <w:rPr>
          <w:spacing w:val="-1"/>
        </w:rPr>
        <w:t> </w:t>
      </w:r>
      <w:r>
        <w:rPr/>
        <w:t>foi</w:t>
      </w:r>
      <w:r>
        <w:rPr>
          <w:spacing w:val="-1"/>
        </w:rPr>
        <w:t> </w:t>
      </w:r>
      <w:r>
        <w:rPr/>
        <w:t>recebida</w:t>
      </w:r>
      <w:r>
        <w:rPr>
          <w:spacing w:val="-1"/>
        </w:rPr>
        <w:t> </w:t>
      </w:r>
      <w:r>
        <w:rPr/>
        <w:t>a</w:t>
      </w:r>
      <w:r>
        <w:rPr>
          <w:spacing w:val="-1"/>
        </w:rPr>
        <w:t> </w:t>
      </w:r>
      <w:r>
        <w:rPr/>
        <w:t>notificação</w:t>
      </w:r>
      <w:r>
        <w:rPr>
          <w:spacing w:val="-1"/>
        </w:rPr>
        <w:t> </w:t>
      </w:r>
      <w:r>
        <w:rPr/>
        <w:t>e</w:t>
      </w:r>
      <w:r>
        <w:rPr>
          <w:spacing w:val="-1"/>
        </w:rPr>
        <w:t> </w:t>
      </w:r>
      <w:r>
        <w:rPr/>
        <w:t>por</w:t>
      </w:r>
      <w:r>
        <w:rPr>
          <w:spacing w:val="-1"/>
        </w:rPr>
        <w:t> </w:t>
      </w:r>
      <w:r>
        <w:rPr/>
        <w:t>qual</w:t>
      </w:r>
      <w:r>
        <w:rPr>
          <w:spacing w:val="-1"/>
        </w:rPr>
        <w:t> </w:t>
      </w:r>
      <w:r>
        <w:rPr/>
        <w:t>razão</w:t>
      </w:r>
      <w:r>
        <w:rPr>
          <w:spacing w:val="-1"/>
        </w:rPr>
        <w:t> </w:t>
      </w:r>
      <w:r>
        <w:rPr/>
        <w:t>houve</w:t>
      </w:r>
      <w:r>
        <w:rPr>
          <w:spacing w:val="-1"/>
        </w:rPr>
        <w:t> </w:t>
      </w:r>
      <w:r>
        <w:rPr/>
        <w:t>atraso</w:t>
      </w:r>
      <w:r>
        <w:rPr>
          <w:spacing w:val="-1"/>
        </w:rPr>
        <w:t> </w:t>
      </w:r>
      <w:r>
        <w:rPr/>
        <w:t>no</w:t>
      </w:r>
      <w:r>
        <w:rPr>
          <w:spacing w:val="-1"/>
        </w:rPr>
        <w:t> </w:t>
      </w:r>
      <w:r>
        <w:rPr/>
        <w:t>tratamento</w:t>
      </w:r>
      <w:r>
        <w:rPr>
          <w:spacing w:val="-1"/>
        </w:rPr>
        <w:t> </w:t>
      </w:r>
      <w:r>
        <w:rPr/>
        <w:t>da</w:t>
      </w:r>
      <w:r>
        <w:rPr>
          <w:spacing w:val="-1"/>
        </w:rPr>
        <w:t> </w:t>
      </w:r>
      <w:r>
        <w:rPr/>
        <w:t>demanda.</w:t>
      </w:r>
    </w:p>
    <w:p>
      <w:pPr>
        <w:pStyle w:val="BodyText"/>
        <w:spacing w:before="116"/>
        <w:ind w:right="244"/>
        <w:jc w:val="both"/>
      </w:pPr>
      <w:r>
        <w:rPr/>
        <w:t>Considerando a informação de que o setor responsável não recebeu previamente a notificação da multa, o Conselho solicita esclarecimentos acerca do motivo pelo qual a comunicação somente ocorreu após o vencimento da GRU, bem como requer a devida apuração de responsabilidade.</w:t>
      </w:r>
    </w:p>
    <w:p>
      <w:pPr>
        <w:pStyle w:val="BodyText"/>
        <w:spacing w:before="231"/>
        <w:ind w:left="0"/>
      </w:pPr>
    </w:p>
    <w:p>
      <w:pPr>
        <w:spacing w:before="0"/>
        <w:ind w:left="242" w:right="253" w:firstLine="0"/>
        <w:jc w:val="both"/>
        <w:rPr>
          <w:sz w:val="24"/>
        </w:rPr>
      </w:pPr>
      <w:r>
        <w:rPr>
          <w:b/>
          <w:sz w:val="24"/>
          <w:u w:val="single"/>
        </w:rPr>
        <w:t>Autorizações</w:t>
      </w:r>
      <w:r>
        <w:rPr>
          <w:b/>
          <w:spacing w:val="-3"/>
          <w:sz w:val="24"/>
          <w:u w:val="single"/>
        </w:rPr>
        <w:t> </w:t>
      </w:r>
      <w:r>
        <w:rPr>
          <w:b/>
          <w:sz w:val="24"/>
          <w:u w:val="single"/>
        </w:rPr>
        <w:t>DIRPRE</w:t>
      </w:r>
      <w:r>
        <w:rPr>
          <w:b/>
          <w:spacing w:val="-3"/>
          <w:sz w:val="24"/>
          <w:u w:val="single"/>
        </w:rPr>
        <w:t> </w:t>
      </w:r>
      <w:r>
        <w:rPr>
          <w:b/>
          <w:sz w:val="24"/>
          <w:u w:val="single"/>
        </w:rPr>
        <w:t>realizadas</w:t>
      </w:r>
      <w:r>
        <w:rPr>
          <w:b/>
          <w:spacing w:val="-3"/>
          <w:sz w:val="24"/>
          <w:u w:val="single"/>
        </w:rPr>
        <w:t> </w:t>
      </w:r>
      <w:r>
        <w:rPr>
          <w:b/>
          <w:sz w:val="24"/>
          <w:u w:val="single"/>
        </w:rPr>
        <w:t>em</w:t>
      </w:r>
      <w:r>
        <w:rPr>
          <w:b/>
          <w:spacing w:val="-3"/>
          <w:sz w:val="24"/>
          <w:u w:val="single"/>
        </w:rPr>
        <w:t> </w:t>
      </w:r>
      <w:r>
        <w:rPr>
          <w:b/>
          <w:sz w:val="24"/>
          <w:u w:val="single"/>
        </w:rPr>
        <w:t>março</w:t>
      </w:r>
      <w:r>
        <w:rPr>
          <w:b/>
          <w:spacing w:val="-3"/>
          <w:sz w:val="24"/>
          <w:u w:val="single"/>
        </w:rPr>
        <w:t> </w:t>
      </w:r>
      <w:r>
        <w:rPr>
          <w:b/>
          <w:sz w:val="24"/>
          <w:u w:val="single"/>
        </w:rPr>
        <w:t>/</w:t>
      </w:r>
      <w:r>
        <w:rPr>
          <w:b/>
          <w:spacing w:val="-3"/>
          <w:sz w:val="24"/>
          <w:u w:val="single"/>
        </w:rPr>
        <w:t> </w:t>
      </w:r>
      <w:r>
        <w:rPr>
          <w:b/>
          <w:sz w:val="24"/>
          <w:u w:val="single"/>
        </w:rPr>
        <w:t>2026</w:t>
      </w:r>
      <w:r>
        <w:rPr>
          <w:b/>
          <w:spacing w:val="-3"/>
          <w:sz w:val="24"/>
          <w:u w:val="single"/>
        </w:rPr>
        <w:t> </w:t>
      </w:r>
      <w:r>
        <w:rPr>
          <w:b/>
          <w:sz w:val="24"/>
          <w:u w:val="single"/>
        </w:rPr>
        <w:t>-</w:t>
      </w:r>
      <w:r>
        <w:rPr>
          <w:b/>
          <w:spacing w:val="-3"/>
          <w:sz w:val="24"/>
          <w:u w:val="single"/>
        </w:rPr>
        <w:t> </w:t>
      </w:r>
      <w:r>
        <w:rPr>
          <w:b/>
          <w:sz w:val="24"/>
          <w:u w:val="single"/>
        </w:rPr>
        <w:t>Contratação</w:t>
      </w:r>
      <w:r>
        <w:rPr>
          <w:b/>
          <w:spacing w:val="-3"/>
          <w:sz w:val="24"/>
          <w:u w:val="single"/>
        </w:rPr>
        <w:t> </w:t>
      </w:r>
      <w:r>
        <w:rPr>
          <w:b/>
          <w:sz w:val="24"/>
          <w:u w:val="single"/>
        </w:rPr>
        <w:t>de</w:t>
      </w:r>
      <w:r>
        <w:rPr>
          <w:b/>
          <w:spacing w:val="-14"/>
          <w:sz w:val="24"/>
          <w:u w:val="single"/>
        </w:rPr>
        <w:t> </w:t>
      </w:r>
      <w:r>
        <w:rPr>
          <w:b/>
          <w:sz w:val="24"/>
          <w:u w:val="single"/>
        </w:rPr>
        <w:t>Auditoria</w:t>
      </w:r>
      <w:r>
        <w:rPr>
          <w:b/>
          <w:spacing w:val="-3"/>
          <w:sz w:val="24"/>
          <w:u w:val="single"/>
        </w:rPr>
        <w:t> </w:t>
      </w:r>
      <w:r>
        <w:rPr>
          <w:b/>
          <w:sz w:val="24"/>
          <w:u w:val="single"/>
        </w:rPr>
        <w:t>Externa</w:t>
      </w:r>
      <w:r>
        <w:rPr>
          <w:b/>
          <w:spacing w:val="-3"/>
          <w:sz w:val="24"/>
          <w:u w:val="single"/>
        </w:rPr>
        <w:t> </w:t>
      </w:r>
      <w:r>
        <w:rPr>
          <w:b/>
          <w:sz w:val="24"/>
          <w:u w:val="single"/>
        </w:rPr>
        <w:t>-</w:t>
      </w:r>
      <w:r>
        <w:rPr>
          <w:b/>
          <w:spacing w:val="23"/>
          <w:sz w:val="24"/>
        </w:rPr>
        <w:t> </w:t>
      </w:r>
      <w:r>
        <w:rPr>
          <w:sz w:val="24"/>
        </w:rPr>
        <w:t>A</w:t>
      </w:r>
      <w:r>
        <w:rPr>
          <w:spacing w:val="-12"/>
          <w:sz w:val="24"/>
        </w:rPr>
        <w:t> </w:t>
      </w:r>
      <w:r>
        <w:rPr>
          <w:sz w:val="24"/>
        </w:rPr>
        <w:t>DIREXE, através</w:t>
      </w:r>
      <w:r>
        <w:rPr>
          <w:spacing w:val="-10"/>
          <w:sz w:val="24"/>
        </w:rPr>
        <w:t> </w:t>
      </w:r>
      <w:r>
        <w:rPr>
          <w:sz w:val="24"/>
        </w:rPr>
        <w:t>do</w:t>
      </w:r>
      <w:r>
        <w:rPr>
          <w:spacing w:val="-7"/>
          <w:sz w:val="24"/>
        </w:rPr>
        <w:t> </w:t>
      </w:r>
      <w:r>
        <w:rPr>
          <w:sz w:val="24"/>
        </w:rPr>
        <w:t>Comunicado</w:t>
      </w:r>
      <w:r>
        <w:rPr>
          <w:spacing w:val="-7"/>
          <w:sz w:val="24"/>
        </w:rPr>
        <w:t> </w:t>
      </w:r>
      <w:r>
        <w:rPr>
          <w:sz w:val="24"/>
        </w:rPr>
        <w:t>nº</w:t>
      </w:r>
      <w:r>
        <w:rPr>
          <w:spacing w:val="-7"/>
          <w:sz w:val="24"/>
        </w:rPr>
        <w:t> </w:t>
      </w:r>
      <w:r>
        <w:rPr>
          <w:sz w:val="24"/>
        </w:rPr>
        <w:t>6/2026/DIREXE-CDC,</w:t>
      </w:r>
      <w:r>
        <w:rPr>
          <w:spacing w:val="-7"/>
          <w:sz w:val="24"/>
        </w:rPr>
        <w:t> </w:t>
      </w:r>
      <w:r>
        <w:rPr>
          <w:sz w:val="24"/>
        </w:rPr>
        <w:t>informou</w:t>
      </w:r>
      <w:r>
        <w:rPr>
          <w:spacing w:val="-7"/>
          <w:sz w:val="24"/>
        </w:rPr>
        <w:t> </w:t>
      </w:r>
      <w:r>
        <w:rPr>
          <w:sz w:val="24"/>
        </w:rPr>
        <w:t>que</w:t>
      </w:r>
      <w:r>
        <w:rPr>
          <w:spacing w:val="-7"/>
          <w:sz w:val="24"/>
        </w:rPr>
        <w:t> </w:t>
      </w:r>
      <w:r>
        <w:rPr>
          <w:sz w:val="24"/>
        </w:rPr>
        <w:t>no</w:t>
      </w:r>
      <w:r>
        <w:rPr>
          <w:spacing w:val="-7"/>
          <w:sz w:val="24"/>
        </w:rPr>
        <w:t> </w:t>
      </w:r>
      <w:r>
        <w:rPr>
          <w:sz w:val="24"/>
        </w:rPr>
        <w:t>que</w:t>
      </w:r>
      <w:r>
        <w:rPr>
          <w:spacing w:val="-7"/>
          <w:sz w:val="24"/>
        </w:rPr>
        <w:t> </w:t>
      </w:r>
      <w:r>
        <w:rPr>
          <w:sz w:val="24"/>
        </w:rPr>
        <w:t>se</w:t>
      </w:r>
      <w:r>
        <w:rPr>
          <w:spacing w:val="-7"/>
          <w:sz w:val="24"/>
        </w:rPr>
        <w:t> </w:t>
      </w:r>
      <w:r>
        <w:rPr>
          <w:sz w:val="24"/>
        </w:rPr>
        <w:t>refere</w:t>
      </w:r>
      <w:r>
        <w:rPr>
          <w:spacing w:val="-7"/>
          <w:sz w:val="24"/>
        </w:rPr>
        <w:t> </w:t>
      </w:r>
      <w:r>
        <w:rPr>
          <w:sz w:val="24"/>
        </w:rPr>
        <w:t>à</w:t>
      </w:r>
      <w:r>
        <w:rPr>
          <w:spacing w:val="-15"/>
          <w:sz w:val="24"/>
        </w:rPr>
        <w:t> </w:t>
      </w:r>
      <w:r>
        <w:rPr>
          <w:sz w:val="24"/>
        </w:rPr>
        <w:t>Autorização</w:t>
      </w:r>
      <w:r>
        <w:rPr>
          <w:spacing w:val="-7"/>
          <w:sz w:val="24"/>
        </w:rPr>
        <w:t> </w:t>
      </w:r>
      <w:r>
        <w:rPr>
          <w:sz w:val="24"/>
        </w:rPr>
        <w:t>DIRPRE</w:t>
      </w:r>
      <w:r>
        <w:rPr>
          <w:spacing w:val="-7"/>
          <w:sz w:val="24"/>
        </w:rPr>
        <w:t> </w:t>
      </w:r>
      <w:r>
        <w:rPr>
          <w:sz w:val="24"/>
        </w:rPr>
        <w:t>nº</w:t>
      </w:r>
    </w:p>
    <w:p>
      <w:pPr>
        <w:spacing w:after="0"/>
        <w:jc w:val="both"/>
        <w:rPr>
          <w:sz w:val="24"/>
        </w:rPr>
        <w:sectPr>
          <w:pgSz w:w="11900" w:h="16840"/>
          <w:pgMar w:header="0" w:footer="181" w:top="500" w:bottom="380" w:left="566" w:right="566"/>
        </w:sectPr>
      </w:pPr>
    </w:p>
    <w:p>
      <w:pPr>
        <w:pStyle w:val="BodyText"/>
        <w:spacing w:before="60"/>
        <w:ind w:right="241"/>
        <w:jc w:val="both"/>
      </w:pPr>
      <w:r>
        <w:rPr/>
        <w:t>24/2026,</w:t>
      </w:r>
      <w:r>
        <w:rPr>
          <w:spacing w:val="-4"/>
        </w:rPr>
        <w:t> </w:t>
      </w:r>
      <w:r>
        <w:rPr/>
        <w:t>relativa</w:t>
      </w:r>
      <w:r>
        <w:rPr>
          <w:spacing w:val="-4"/>
        </w:rPr>
        <w:t> </w:t>
      </w:r>
      <w:r>
        <w:rPr/>
        <w:t>à</w:t>
      </w:r>
      <w:r>
        <w:rPr>
          <w:spacing w:val="-4"/>
        </w:rPr>
        <w:t> </w:t>
      </w:r>
      <w:r>
        <w:rPr/>
        <w:t>contratação</w:t>
      </w:r>
      <w:r>
        <w:rPr>
          <w:spacing w:val="-4"/>
        </w:rPr>
        <w:t> </w:t>
      </w:r>
      <w:r>
        <w:rPr/>
        <w:t>de</w:t>
      </w:r>
      <w:r>
        <w:rPr>
          <w:spacing w:val="-15"/>
        </w:rPr>
        <w:t> </w:t>
      </w:r>
      <w:r>
        <w:rPr/>
        <w:t>Auditoria</w:t>
      </w:r>
      <w:r>
        <w:rPr>
          <w:spacing w:val="-4"/>
        </w:rPr>
        <w:t> </w:t>
      </w:r>
      <w:r>
        <w:rPr/>
        <w:t>Externa</w:t>
      </w:r>
      <w:r>
        <w:rPr>
          <w:spacing w:val="-4"/>
        </w:rPr>
        <w:t> </w:t>
      </w:r>
      <w:r>
        <w:rPr/>
        <w:t>(Auditoria</w:t>
      </w:r>
      <w:r>
        <w:rPr>
          <w:spacing w:val="-4"/>
        </w:rPr>
        <w:t> </w:t>
      </w:r>
      <w:r>
        <w:rPr/>
        <w:t>Contábil</w:t>
      </w:r>
      <w:r>
        <w:rPr>
          <w:spacing w:val="-4"/>
        </w:rPr>
        <w:t> </w:t>
      </w:r>
      <w:r>
        <w:rPr/>
        <w:t>Independente)</w:t>
      </w:r>
      <w:r>
        <w:rPr>
          <w:spacing w:val="-4"/>
        </w:rPr>
        <w:t> </w:t>
      </w:r>
      <w:r>
        <w:rPr/>
        <w:t>para</w:t>
      </w:r>
      <w:r>
        <w:rPr>
          <w:spacing w:val="-4"/>
        </w:rPr>
        <w:t> </w:t>
      </w:r>
      <w:r>
        <w:rPr/>
        <w:t>realização</w:t>
      </w:r>
      <w:r>
        <w:rPr>
          <w:spacing w:val="-4"/>
        </w:rPr>
        <w:t> </w:t>
      </w:r>
      <w:r>
        <w:rPr/>
        <w:t>das auditorias trimestrais e da auditoria anual das demonstrações financeiras da Companhia Docas do Ceará, esclarece-se</w:t>
      </w:r>
      <w:r>
        <w:rPr>
          <w:spacing w:val="-2"/>
        </w:rPr>
        <w:t> </w:t>
      </w:r>
      <w:r>
        <w:rPr/>
        <w:t>que</w:t>
      </w:r>
      <w:r>
        <w:rPr>
          <w:spacing w:val="-2"/>
        </w:rPr>
        <w:t> </w:t>
      </w:r>
      <w:r>
        <w:rPr/>
        <w:t>o</w:t>
      </w:r>
      <w:r>
        <w:rPr>
          <w:spacing w:val="-2"/>
        </w:rPr>
        <w:t> </w:t>
      </w:r>
      <w:r>
        <w:rPr/>
        <w:t>processo</w:t>
      </w:r>
      <w:r>
        <w:rPr>
          <w:spacing w:val="-2"/>
        </w:rPr>
        <w:t> </w:t>
      </w:r>
      <w:r>
        <w:rPr/>
        <w:t>de</w:t>
      </w:r>
      <w:r>
        <w:rPr>
          <w:spacing w:val="-2"/>
        </w:rPr>
        <w:t> </w:t>
      </w:r>
      <w:r>
        <w:rPr/>
        <w:t>contratação</w:t>
      </w:r>
      <w:r>
        <w:rPr>
          <w:spacing w:val="-2"/>
        </w:rPr>
        <w:t> </w:t>
      </w:r>
      <w:r>
        <w:rPr/>
        <w:t>se</w:t>
      </w:r>
      <w:r>
        <w:rPr>
          <w:spacing w:val="-2"/>
        </w:rPr>
        <w:t> </w:t>
      </w:r>
      <w:r>
        <w:rPr/>
        <w:t>encontra</w:t>
      </w:r>
      <w:r>
        <w:rPr>
          <w:spacing w:val="-2"/>
        </w:rPr>
        <w:t> </w:t>
      </w:r>
      <w:r>
        <w:rPr/>
        <w:t>em</w:t>
      </w:r>
      <w:r>
        <w:rPr>
          <w:spacing w:val="-2"/>
        </w:rPr>
        <w:t> </w:t>
      </w:r>
      <w:r>
        <w:rPr/>
        <w:t>fase</w:t>
      </w:r>
      <w:r>
        <w:rPr>
          <w:spacing w:val="-2"/>
        </w:rPr>
        <w:t> </w:t>
      </w:r>
      <w:r>
        <w:rPr/>
        <w:t>final</w:t>
      </w:r>
      <w:r>
        <w:rPr>
          <w:spacing w:val="-2"/>
        </w:rPr>
        <w:t> </w:t>
      </w:r>
      <w:r>
        <w:rPr/>
        <w:t>de</w:t>
      </w:r>
      <w:r>
        <w:rPr>
          <w:spacing w:val="-2"/>
        </w:rPr>
        <w:t> </w:t>
      </w:r>
      <w:r>
        <w:rPr/>
        <w:t>tramitação</w:t>
      </w:r>
      <w:r>
        <w:rPr>
          <w:spacing w:val="-2"/>
        </w:rPr>
        <w:t> </w:t>
      </w:r>
      <w:r>
        <w:rPr/>
        <w:t>administrativa.</w:t>
      </w:r>
      <w:r>
        <w:rPr>
          <w:spacing w:val="-2"/>
        </w:rPr>
        <w:t> </w:t>
      </w:r>
      <w:r>
        <w:rPr/>
        <w:t>O</w:t>
      </w:r>
      <w:r>
        <w:rPr>
          <w:spacing w:val="-2"/>
        </w:rPr>
        <w:t> </w:t>
      </w:r>
      <w:r>
        <w:rPr/>
        <w:t>atraso ocorrido decorreu da necessidade de ajustes nos documentos técnicos e dos procedimentos internos indispensáveis à formalização da contratação, em conformidade com as exigências legais e normativas aplicáveis. Quanto aos impactos na análise das contas do 1º trimestre de 2026, informa-se que a ausência da conclusão da contratação até o encerramento do referido período poderá ocasionar atraso na emissão do relatório de revisão das demonstrações contábeis trimestrais pela auditoria independente. Contudo, a área técnica da Companhia, por meio da CODFIN/Contabilidade, permanece adotando regularmente os procedimentos internos de controle, acompanhamento e fechamento contábil, de modo a assegurar a integridade e a confiabilidade das informações financeiras apresentadas. Adicionalmente, registra-se que estão sendo adotadas medidas para a conclusão célere da contratação, visando minimizar eventuais impactos nos cronogramas de análise e deliberação das demonstrações financeiras referentes ao exercício de 2026. Informamos, ainda, que as Demonstrações Financeiras e as respectivas Notas Explicativas do 1º trimestre de 2026 já se encontram concluídas, aguardando apenas a contratação da empresa de auditoria para encaminhamento da documentação necessária às devidas análises e à emissão do respectivo parecer (11263072). Segue em anexo as Notas Explicativas no anexo SEI n° 11264590.</w:t>
      </w:r>
    </w:p>
    <w:p>
      <w:pPr>
        <w:pStyle w:val="BodyText"/>
        <w:spacing w:before="90"/>
        <w:ind w:right="251"/>
        <w:jc w:val="both"/>
      </w:pPr>
      <w:r>
        <w:rPr/>
        <w:t>O Conselho reitera sua preocupação quanto ao atraso na relevante contratação, considerando os impactos na prestação de contas e os reflexos diretos na atuação do Colegiado.</w:t>
      </w:r>
    </w:p>
    <w:p>
      <w:pPr>
        <w:pStyle w:val="BodyText"/>
        <w:spacing w:before="116"/>
        <w:ind w:right="242"/>
        <w:jc w:val="both"/>
      </w:pPr>
      <w:r>
        <w:rPr/>
        <w:t>Recomenda, ainda, que as próximas contratações sejam realizadas em tempo hábil, a fim de evitar a ocorrência de problemas semelhantes.</w:t>
      </w:r>
    </w:p>
    <w:p>
      <w:pPr>
        <w:pStyle w:val="BodyText"/>
        <w:spacing w:before="233"/>
        <w:ind w:left="0"/>
      </w:pPr>
    </w:p>
    <w:p>
      <w:pPr>
        <w:pStyle w:val="BodyText"/>
        <w:ind w:right="240"/>
        <w:jc w:val="both"/>
      </w:pPr>
      <w:r>
        <w:rPr>
          <w:b/>
          <w:u w:val="single"/>
        </w:rPr>
        <w:t>Autorizações</w:t>
      </w:r>
      <w:r>
        <w:rPr>
          <w:b/>
          <w:spacing w:val="-5"/>
          <w:u w:val="single"/>
        </w:rPr>
        <w:t> </w:t>
      </w:r>
      <w:r>
        <w:rPr>
          <w:b/>
          <w:u w:val="single"/>
        </w:rPr>
        <w:t>DIRPRE</w:t>
      </w:r>
      <w:r>
        <w:rPr>
          <w:b/>
          <w:spacing w:val="-5"/>
          <w:u w:val="single"/>
        </w:rPr>
        <w:t> </w:t>
      </w:r>
      <w:r>
        <w:rPr>
          <w:b/>
          <w:u w:val="single"/>
        </w:rPr>
        <w:t>realizadas</w:t>
      </w:r>
      <w:r>
        <w:rPr>
          <w:b/>
          <w:spacing w:val="-5"/>
          <w:u w:val="single"/>
        </w:rPr>
        <w:t> </w:t>
      </w:r>
      <w:r>
        <w:rPr>
          <w:b/>
          <w:u w:val="single"/>
        </w:rPr>
        <w:t>em</w:t>
      </w:r>
      <w:r>
        <w:rPr>
          <w:b/>
          <w:spacing w:val="-5"/>
          <w:u w:val="single"/>
        </w:rPr>
        <w:t> </w:t>
      </w:r>
      <w:r>
        <w:rPr>
          <w:b/>
          <w:u w:val="single"/>
        </w:rPr>
        <w:t>abril</w:t>
      </w:r>
      <w:r>
        <w:rPr>
          <w:b/>
          <w:spacing w:val="-5"/>
          <w:u w:val="single"/>
        </w:rPr>
        <w:t> </w:t>
      </w:r>
      <w:r>
        <w:rPr>
          <w:b/>
          <w:u w:val="single"/>
        </w:rPr>
        <w:t>e</w:t>
      </w:r>
      <w:r>
        <w:rPr>
          <w:b/>
          <w:spacing w:val="-5"/>
          <w:u w:val="single"/>
        </w:rPr>
        <w:t> </w:t>
      </w:r>
      <w:r>
        <w:rPr>
          <w:b/>
          <w:u w:val="single"/>
        </w:rPr>
        <w:t>maio</w:t>
      </w:r>
      <w:r>
        <w:rPr>
          <w:b/>
          <w:spacing w:val="-5"/>
          <w:u w:val="single"/>
        </w:rPr>
        <w:t> </w:t>
      </w:r>
      <w:r>
        <w:rPr>
          <w:b/>
          <w:u w:val="single"/>
        </w:rPr>
        <w:t>/</w:t>
      </w:r>
      <w:r>
        <w:rPr>
          <w:b/>
          <w:spacing w:val="-5"/>
          <w:u w:val="single"/>
        </w:rPr>
        <w:t> </w:t>
      </w:r>
      <w:r>
        <w:rPr>
          <w:b/>
          <w:u w:val="single"/>
        </w:rPr>
        <w:t>2025</w:t>
      </w:r>
      <w:r>
        <w:rPr>
          <w:b/>
          <w:spacing w:val="-5"/>
          <w:u w:val="single"/>
        </w:rPr>
        <w:t> </w:t>
      </w:r>
      <w:r>
        <w:rPr>
          <w:b/>
          <w:u w:val="single"/>
        </w:rPr>
        <w:t>–</w:t>
      </w:r>
      <w:r>
        <w:rPr>
          <w:b/>
          <w:spacing w:val="-5"/>
          <w:u w:val="single"/>
        </w:rPr>
        <w:t> </w:t>
      </w:r>
      <w:r>
        <w:rPr>
          <w:b/>
          <w:u w:val="single"/>
        </w:rPr>
        <w:t>Energia</w:t>
      </w:r>
      <w:r>
        <w:rPr>
          <w:b/>
          <w:spacing w:val="-5"/>
          <w:u w:val="single"/>
        </w:rPr>
        <w:t> </w:t>
      </w:r>
      <w:r>
        <w:rPr>
          <w:b/>
          <w:u w:val="single"/>
        </w:rPr>
        <w:t>elétrica</w:t>
      </w:r>
      <w:r>
        <w:rPr>
          <w:b/>
          <w:spacing w:val="-5"/>
          <w:u w:val="single"/>
        </w:rPr>
        <w:t> </w:t>
      </w:r>
      <w:r>
        <w:rPr>
          <w:b/>
          <w:u w:val="single"/>
        </w:rPr>
        <w:t>TMP</w:t>
      </w:r>
      <w:r>
        <w:rPr>
          <w:b/>
          <w:spacing w:val="-15"/>
          <w:u w:val="single"/>
        </w:rPr>
        <w:t> </w:t>
      </w:r>
      <w:r>
        <w:rPr>
          <w:b/>
          <w:u w:val="single"/>
        </w:rPr>
        <w:t>-</w:t>
      </w:r>
      <w:r>
        <w:rPr>
          <w:b/>
        </w:rPr>
        <w:t> </w:t>
      </w:r>
      <w:r>
        <w:rPr/>
        <w:t>A</w:t>
      </w:r>
      <w:r>
        <w:rPr>
          <w:spacing w:val="-13"/>
        </w:rPr>
        <w:t> </w:t>
      </w:r>
      <w:r>
        <w:rPr/>
        <w:t>DIREXE,</w:t>
      </w:r>
      <w:r>
        <w:rPr>
          <w:spacing w:val="-2"/>
        </w:rPr>
        <w:t> </w:t>
      </w:r>
      <w:r>
        <w:rPr/>
        <w:t>através do</w:t>
      </w:r>
      <w:r>
        <w:rPr>
          <w:spacing w:val="-10"/>
        </w:rPr>
        <w:t> </w:t>
      </w:r>
      <w:r>
        <w:rPr/>
        <w:t>Comunicado</w:t>
      </w:r>
      <w:r>
        <w:rPr>
          <w:spacing w:val="-10"/>
        </w:rPr>
        <w:t> </w:t>
      </w:r>
      <w:r>
        <w:rPr/>
        <w:t>nº</w:t>
      </w:r>
      <w:r>
        <w:rPr>
          <w:spacing w:val="-10"/>
        </w:rPr>
        <w:t> </w:t>
      </w:r>
      <w:r>
        <w:rPr/>
        <w:t>6/2026/DIREXE-CDC,</w:t>
      </w:r>
      <w:r>
        <w:rPr>
          <w:spacing w:val="-10"/>
        </w:rPr>
        <w:t> </w:t>
      </w:r>
      <w:r>
        <w:rPr/>
        <w:t>informou</w:t>
      </w:r>
      <w:r>
        <w:rPr>
          <w:spacing w:val="-10"/>
        </w:rPr>
        <w:t> </w:t>
      </w:r>
      <w:r>
        <w:rPr/>
        <w:t>que</w:t>
      </w:r>
      <w:r>
        <w:rPr>
          <w:spacing w:val="-10"/>
        </w:rPr>
        <w:t> </w:t>
      </w:r>
      <w:r>
        <w:rPr/>
        <w:t>após</w:t>
      </w:r>
      <w:r>
        <w:rPr>
          <w:spacing w:val="-10"/>
        </w:rPr>
        <w:t> </w:t>
      </w:r>
      <w:r>
        <w:rPr/>
        <w:t>análise,</w:t>
      </w:r>
      <w:r>
        <w:rPr>
          <w:spacing w:val="-10"/>
        </w:rPr>
        <w:t> </w:t>
      </w:r>
      <w:r>
        <w:rPr/>
        <w:t>foi</w:t>
      </w:r>
      <w:r>
        <w:rPr>
          <w:spacing w:val="-10"/>
        </w:rPr>
        <w:t> </w:t>
      </w:r>
      <w:r>
        <w:rPr/>
        <w:t>encaminhado</w:t>
      </w:r>
      <w:r>
        <w:rPr>
          <w:spacing w:val="-10"/>
        </w:rPr>
        <w:t> </w:t>
      </w:r>
      <w:r>
        <w:rPr/>
        <w:t>pela</w:t>
      </w:r>
      <w:r>
        <w:rPr>
          <w:spacing w:val="-10"/>
        </w:rPr>
        <w:t> </w:t>
      </w:r>
      <w:r>
        <w:rPr/>
        <w:t>Coordenadoria de Manutenção Elétrica e Mecânica, e-mail contendo o faturamento referente ao período de maio/2024 à novembro/2024 das três torres de iluminação, para que a DIRCOM trate diretamente com o cliente CMA acerca</w:t>
      </w:r>
      <w:r>
        <w:rPr>
          <w:spacing w:val="-6"/>
        </w:rPr>
        <w:t> </w:t>
      </w:r>
      <w:r>
        <w:rPr/>
        <w:t>da</w:t>
      </w:r>
      <w:r>
        <w:rPr>
          <w:spacing w:val="-5"/>
        </w:rPr>
        <w:t> </w:t>
      </w:r>
      <w:r>
        <w:rPr/>
        <w:t>respectiva</w:t>
      </w:r>
      <w:r>
        <w:rPr>
          <w:spacing w:val="-5"/>
        </w:rPr>
        <w:t> </w:t>
      </w:r>
      <w:r>
        <w:rPr/>
        <w:t>aprovação.</w:t>
      </w:r>
      <w:r>
        <w:rPr>
          <w:spacing w:val="-15"/>
        </w:rPr>
        <w:t> </w:t>
      </w:r>
      <w:r>
        <w:rPr/>
        <w:t>Após</w:t>
      </w:r>
      <w:r>
        <w:rPr>
          <w:spacing w:val="-5"/>
        </w:rPr>
        <w:t> </w:t>
      </w:r>
      <w:r>
        <w:rPr/>
        <w:t>a</w:t>
      </w:r>
      <w:r>
        <w:rPr>
          <w:spacing w:val="-5"/>
        </w:rPr>
        <w:t> </w:t>
      </w:r>
      <w:r>
        <w:rPr/>
        <w:t>manifestação</w:t>
      </w:r>
      <w:r>
        <w:rPr>
          <w:spacing w:val="-5"/>
        </w:rPr>
        <w:t> </w:t>
      </w:r>
      <w:r>
        <w:rPr/>
        <w:t>favorável</w:t>
      </w:r>
      <w:r>
        <w:rPr>
          <w:spacing w:val="-5"/>
        </w:rPr>
        <w:t> </w:t>
      </w:r>
      <w:r>
        <w:rPr/>
        <w:t>do</w:t>
      </w:r>
      <w:r>
        <w:rPr>
          <w:spacing w:val="-6"/>
        </w:rPr>
        <w:t> </w:t>
      </w:r>
      <w:r>
        <w:rPr/>
        <w:t>cliente,</w:t>
      </w:r>
      <w:r>
        <w:rPr>
          <w:spacing w:val="-5"/>
        </w:rPr>
        <w:t> </w:t>
      </w:r>
      <w:r>
        <w:rPr/>
        <w:t>solicita-se</w:t>
      </w:r>
      <w:r>
        <w:rPr>
          <w:spacing w:val="-5"/>
        </w:rPr>
        <w:t> </w:t>
      </w:r>
      <w:r>
        <w:rPr/>
        <w:t>o</w:t>
      </w:r>
      <w:r>
        <w:rPr>
          <w:spacing w:val="-5"/>
        </w:rPr>
        <w:t> </w:t>
      </w:r>
      <w:r>
        <w:rPr/>
        <w:t>encaminhamento</w:t>
      </w:r>
      <w:r>
        <w:rPr>
          <w:spacing w:val="-5"/>
        </w:rPr>
        <w:t> </w:t>
      </w:r>
      <w:r>
        <w:rPr/>
        <w:t>da fatura ao setor de faturamento para adoção das providências cabíveis. Breve histórico: No período de maio/2024 a novembro/2024, as torres de iluminação 31, 32 e 33 permaneceram ligadas à subestação da então arrendatária TERMAP. Contudo, a iluminação fornecida por essas torres atendia ao pátio 106, cujas empresas</w:t>
      </w:r>
      <w:r>
        <w:rPr>
          <w:spacing w:val="-1"/>
        </w:rPr>
        <w:t> </w:t>
      </w:r>
      <w:r>
        <w:rPr/>
        <w:t>beneficiárias</w:t>
      </w:r>
      <w:r>
        <w:rPr>
          <w:spacing w:val="-1"/>
        </w:rPr>
        <w:t> </w:t>
      </w:r>
      <w:r>
        <w:rPr/>
        <w:t>eram</w:t>
      </w:r>
      <w:r>
        <w:rPr>
          <w:spacing w:val="-1"/>
        </w:rPr>
        <w:t> </w:t>
      </w:r>
      <w:r>
        <w:rPr/>
        <w:t>a</w:t>
      </w:r>
      <w:r>
        <w:rPr>
          <w:spacing w:val="-1"/>
        </w:rPr>
        <w:t> </w:t>
      </w:r>
      <w:r>
        <w:rPr/>
        <w:t>CMA-CGM</w:t>
      </w:r>
      <w:r>
        <w:rPr>
          <w:spacing w:val="-1"/>
        </w:rPr>
        <w:t> </w:t>
      </w:r>
      <w:r>
        <w:rPr/>
        <w:t>e</w:t>
      </w:r>
      <w:r>
        <w:rPr>
          <w:spacing w:val="-1"/>
        </w:rPr>
        <w:t> </w:t>
      </w:r>
      <w:r>
        <w:rPr/>
        <w:t>a</w:t>
      </w:r>
      <w:r>
        <w:rPr>
          <w:spacing w:val="-1"/>
        </w:rPr>
        <w:t> </w:t>
      </w:r>
      <w:r>
        <w:rPr/>
        <w:t>CDC.</w:t>
      </w:r>
      <w:r>
        <w:rPr>
          <w:spacing w:val="-1"/>
        </w:rPr>
        <w:t> </w:t>
      </w:r>
      <w:r>
        <w:rPr/>
        <w:t>Dessa</w:t>
      </w:r>
      <w:r>
        <w:rPr>
          <w:spacing w:val="-1"/>
        </w:rPr>
        <w:t> </w:t>
      </w:r>
      <w:r>
        <w:rPr/>
        <w:t>forma,</w:t>
      </w:r>
      <w:r>
        <w:rPr>
          <w:spacing w:val="-1"/>
        </w:rPr>
        <w:t> </w:t>
      </w:r>
      <w:r>
        <w:rPr/>
        <w:t>foi</w:t>
      </w:r>
      <w:r>
        <w:rPr>
          <w:spacing w:val="-1"/>
        </w:rPr>
        <w:t> </w:t>
      </w:r>
      <w:r>
        <w:rPr/>
        <w:t>realizada</w:t>
      </w:r>
      <w:r>
        <w:rPr>
          <w:spacing w:val="-1"/>
        </w:rPr>
        <w:t> </w:t>
      </w:r>
      <w:r>
        <w:rPr/>
        <w:t>reunião</w:t>
      </w:r>
      <w:r>
        <w:rPr>
          <w:spacing w:val="-1"/>
        </w:rPr>
        <w:t> </w:t>
      </w:r>
      <w:r>
        <w:rPr/>
        <w:t>entre</w:t>
      </w:r>
      <w:r>
        <w:rPr>
          <w:spacing w:val="-1"/>
        </w:rPr>
        <w:t> </w:t>
      </w:r>
      <w:r>
        <w:rPr/>
        <w:t>CMA-CGM, CDC e TERMAP, ocasião em que ficou deliberada a transferência da alimentação elétrica das três torres para</w:t>
      </w:r>
      <w:r>
        <w:rPr>
          <w:spacing w:val="-4"/>
        </w:rPr>
        <w:t> </w:t>
      </w:r>
      <w:r>
        <w:rPr/>
        <w:t>a</w:t>
      </w:r>
      <w:r>
        <w:rPr>
          <w:spacing w:val="-4"/>
        </w:rPr>
        <w:t> </w:t>
      </w:r>
      <w:r>
        <w:rPr/>
        <w:t>subestação</w:t>
      </w:r>
      <w:r>
        <w:rPr>
          <w:spacing w:val="-4"/>
        </w:rPr>
        <w:t> </w:t>
      </w:r>
      <w:r>
        <w:rPr/>
        <w:t>da</w:t>
      </w:r>
      <w:r>
        <w:rPr>
          <w:spacing w:val="-3"/>
        </w:rPr>
        <w:t> </w:t>
      </w:r>
      <w:r>
        <w:rPr/>
        <w:t>CMA-CGM,</w:t>
      </w:r>
      <w:r>
        <w:rPr>
          <w:spacing w:val="-3"/>
        </w:rPr>
        <w:t> </w:t>
      </w:r>
      <w:r>
        <w:rPr/>
        <w:t>localizada</w:t>
      </w:r>
      <w:r>
        <w:rPr>
          <w:spacing w:val="-3"/>
        </w:rPr>
        <w:t> </w:t>
      </w:r>
      <w:r>
        <w:rPr/>
        <w:t>no</w:t>
      </w:r>
      <w:r>
        <w:rPr>
          <w:spacing w:val="-3"/>
        </w:rPr>
        <w:t> </w:t>
      </w:r>
      <w:r>
        <w:rPr/>
        <w:t>pátio</w:t>
      </w:r>
      <w:r>
        <w:rPr>
          <w:spacing w:val="-3"/>
        </w:rPr>
        <w:t> </w:t>
      </w:r>
      <w:r>
        <w:rPr/>
        <w:t>106.</w:t>
      </w:r>
      <w:r>
        <w:rPr>
          <w:spacing w:val="-14"/>
        </w:rPr>
        <w:t> </w:t>
      </w:r>
      <w:r>
        <w:rPr/>
        <w:t>A</w:t>
      </w:r>
      <w:r>
        <w:rPr>
          <w:spacing w:val="-14"/>
        </w:rPr>
        <w:t> </w:t>
      </w:r>
      <w:r>
        <w:rPr/>
        <w:t>referida</w:t>
      </w:r>
      <w:r>
        <w:rPr>
          <w:spacing w:val="-3"/>
        </w:rPr>
        <w:t> </w:t>
      </w:r>
      <w:r>
        <w:rPr/>
        <w:t>alteração</w:t>
      </w:r>
      <w:r>
        <w:rPr>
          <w:spacing w:val="-3"/>
        </w:rPr>
        <w:t> </w:t>
      </w:r>
      <w:r>
        <w:rPr/>
        <w:t>foi</w:t>
      </w:r>
      <w:r>
        <w:rPr>
          <w:spacing w:val="-4"/>
        </w:rPr>
        <w:t> </w:t>
      </w:r>
      <w:r>
        <w:rPr/>
        <w:t>executada</w:t>
      </w:r>
      <w:r>
        <w:rPr>
          <w:spacing w:val="-3"/>
        </w:rPr>
        <w:t> </w:t>
      </w:r>
      <w:r>
        <w:rPr/>
        <w:t>em</w:t>
      </w:r>
      <w:r>
        <w:rPr>
          <w:spacing w:val="-4"/>
        </w:rPr>
        <w:t> </w:t>
      </w:r>
      <w:r>
        <w:rPr/>
        <w:t>novembro de 2024.</w:t>
      </w:r>
    </w:p>
    <w:p>
      <w:pPr>
        <w:pStyle w:val="BodyText"/>
        <w:spacing w:before="98"/>
        <w:ind w:right="259"/>
        <w:jc w:val="both"/>
      </w:pPr>
      <w:r>
        <w:rPr/>
        <w:t>O Conselho continuará acompanhando o assunto acerca do encaminhamento do faturamento à CMA e reitera o questionamento para que a DIEGEP informe se a TERMAP realizou o respectivo pagamento.</w:t>
      </w:r>
    </w:p>
    <w:p>
      <w:pPr>
        <w:pStyle w:val="BodyText"/>
        <w:spacing w:before="233"/>
        <w:ind w:left="0"/>
      </w:pPr>
    </w:p>
    <w:p>
      <w:pPr>
        <w:pStyle w:val="BodyText"/>
        <w:spacing w:before="1"/>
        <w:ind w:right="242"/>
        <w:jc w:val="both"/>
      </w:pPr>
      <w:r>
        <w:rPr>
          <w:b/>
          <w:u w:val="single"/>
        </w:rPr>
        <w:t>Análise do Balancete e acompanhamento mensal dos resultados econômicos – financeiros – janeiro /</w:t>
      </w:r>
      <w:r>
        <w:rPr>
          <w:b/>
        </w:rPr>
        <w:t> </w:t>
      </w:r>
      <w:r>
        <w:rPr>
          <w:b/>
          <w:u w:val="single"/>
        </w:rPr>
        <w:t>2026 – Auto de Infração ANTAQ -</w:t>
      </w:r>
      <w:r>
        <w:rPr>
          <w:b/>
        </w:rPr>
        <w:t> </w:t>
      </w:r>
      <w:r>
        <w:rPr/>
        <w:t>A DIREXE, através do Comunicado nº 6/2026/DIREXE-CDC, informou que a multa de R$ 22.000,00 aplicada pela ANTAQ decorre do Auto de Infração nº 007172-2, motivado</w:t>
      </w:r>
      <w:r>
        <w:rPr>
          <w:spacing w:val="-2"/>
        </w:rPr>
        <w:t> </w:t>
      </w:r>
      <w:r>
        <w:rPr/>
        <w:t>pelo</w:t>
      </w:r>
      <w:r>
        <w:rPr>
          <w:spacing w:val="-2"/>
        </w:rPr>
        <w:t> </w:t>
      </w:r>
      <w:r>
        <w:rPr/>
        <w:t>atraso</w:t>
      </w:r>
      <w:r>
        <w:rPr>
          <w:spacing w:val="-2"/>
        </w:rPr>
        <w:t> </w:t>
      </w:r>
      <w:r>
        <w:rPr/>
        <w:t>no</w:t>
      </w:r>
      <w:r>
        <w:rPr>
          <w:spacing w:val="-2"/>
        </w:rPr>
        <w:t> </w:t>
      </w:r>
      <w:r>
        <w:rPr/>
        <w:t>envio</w:t>
      </w:r>
      <w:r>
        <w:rPr>
          <w:spacing w:val="-2"/>
        </w:rPr>
        <w:t> </w:t>
      </w:r>
      <w:r>
        <w:rPr/>
        <w:t>de</w:t>
      </w:r>
      <w:r>
        <w:rPr>
          <w:spacing w:val="-2"/>
        </w:rPr>
        <w:t> </w:t>
      </w:r>
      <w:r>
        <w:rPr/>
        <w:t>cronogramas</w:t>
      </w:r>
      <w:r>
        <w:rPr>
          <w:spacing w:val="-2"/>
        </w:rPr>
        <w:t> </w:t>
      </w:r>
      <w:r>
        <w:rPr/>
        <w:t>e</w:t>
      </w:r>
      <w:r>
        <w:rPr>
          <w:spacing w:val="-2"/>
        </w:rPr>
        <w:t> </w:t>
      </w:r>
      <w:r>
        <w:rPr/>
        <w:t>documentos</w:t>
      </w:r>
      <w:r>
        <w:rPr>
          <w:spacing w:val="-2"/>
        </w:rPr>
        <w:t> </w:t>
      </w:r>
      <w:r>
        <w:rPr/>
        <w:t>técnicos</w:t>
      </w:r>
      <w:r>
        <w:rPr>
          <w:spacing w:val="-2"/>
        </w:rPr>
        <w:t> </w:t>
      </w:r>
      <w:r>
        <w:rPr/>
        <w:t>relativos</w:t>
      </w:r>
      <w:r>
        <w:rPr>
          <w:spacing w:val="-2"/>
        </w:rPr>
        <w:t> </w:t>
      </w:r>
      <w:r>
        <w:rPr/>
        <w:t>à</w:t>
      </w:r>
      <w:r>
        <w:rPr>
          <w:spacing w:val="-2"/>
        </w:rPr>
        <w:t> </w:t>
      </w:r>
      <w:r>
        <w:rPr/>
        <w:t>recuperação</w:t>
      </w:r>
      <w:r>
        <w:rPr>
          <w:spacing w:val="-2"/>
        </w:rPr>
        <w:t> </w:t>
      </w:r>
      <w:r>
        <w:rPr/>
        <w:t>estrutural</w:t>
      </w:r>
      <w:r>
        <w:rPr>
          <w:spacing w:val="-2"/>
        </w:rPr>
        <w:t> </w:t>
      </w:r>
      <w:r>
        <w:rPr/>
        <w:t>do Píer</w:t>
      </w:r>
      <w:r>
        <w:rPr>
          <w:spacing w:val="-3"/>
        </w:rPr>
        <w:t> </w:t>
      </w:r>
      <w:r>
        <w:rPr/>
        <w:t>Petroleiro</w:t>
      </w:r>
      <w:r>
        <w:rPr>
          <w:spacing w:val="-3"/>
        </w:rPr>
        <w:t> </w:t>
      </w:r>
      <w:r>
        <w:rPr/>
        <w:t>do</w:t>
      </w:r>
      <w:r>
        <w:rPr>
          <w:spacing w:val="-3"/>
        </w:rPr>
        <w:t> </w:t>
      </w:r>
      <w:r>
        <w:rPr/>
        <w:t>Porto</w:t>
      </w:r>
      <w:r>
        <w:rPr>
          <w:spacing w:val="-3"/>
        </w:rPr>
        <w:t> </w:t>
      </w:r>
      <w:r>
        <w:rPr/>
        <w:t>de</w:t>
      </w:r>
      <w:r>
        <w:rPr>
          <w:spacing w:val="-3"/>
        </w:rPr>
        <w:t> </w:t>
      </w:r>
      <w:r>
        <w:rPr/>
        <w:t>Fortaleza.</w:t>
      </w:r>
      <w:r>
        <w:rPr>
          <w:spacing w:val="-3"/>
        </w:rPr>
        <w:t> </w:t>
      </w:r>
      <w:r>
        <w:rPr/>
        <w:t>O</w:t>
      </w:r>
      <w:r>
        <w:rPr>
          <w:spacing w:val="-3"/>
        </w:rPr>
        <w:t> </w:t>
      </w:r>
      <w:r>
        <w:rPr/>
        <w:t>histórico</w:t>
      </w:r>
      <w:r>
        <w:rPr>
          <w:spacing w:val="-3"/>
        </w:rPr>
        <w:t> </w:t>
      </w:r>
      <w:r>
        <w:rPr/>
        <w:t>do</w:t>
      </w:r>
      <w:r>
        <w:rPr>
          <w:spacing w:val="-3"/>
        </w:rPr>
        <w:t> </w:t>
      </w:r>
      <w:r>
        <w:rPr/>
        <w:t>referido</w:t>
      </w:r>
      <w:r>
        <w:rPr>
          <w:spacing w:val="-3"/>
        </w:rPr>
        <w:t> </w:t>
      </w:r>
      <w:r>
        <w:rPr/>
        <w:t>processo</w:t>
      </w:r>
      <w:r>
        <w:rPr>
          <w:spacing w:val="-3"/>
        </w:rPr>
        <w:t> </w:t>
      </w:r>
      <w:r>
        <w:rPr/>
        <w:t>teve</w:t>
      </w:r>
      <w:r>
        <w:rPr>
          <w:spacing w:val="-3"/>
        </w:rPr>
        <w:t> </w:t>
      </w:r>
      <w:r>
        <w:rPr/>
        <w:t>início</w:t>
      </w:r>
      <w:r>
        <w:rPr>
          <w:spacing w:val="-3"/>
        </w:rPr>
        <w:t> </w:t>
      </w:r>
      <w:r>
        <w:rPr/>
        <w:t>em</w:t>
      </w:r>
      <w:r>
        <w:rPr>
          <w:spacing w:val="-3"/>
        </w:rPr>
        <w:t> </w:t>
      </w:r>
      <w:r>
        <w:rPr/>
        <w:t>22/07/2025,</w:t>
      </w:r>
      <w:r>
        <w:rPr>
          <w:spacing w:val="-3"/>
        </w:rPr>
        <w:t> </w:t>
      </w:r>
      <w:r>
        <w:rPr/>
        <w:t>quando</w:t>
      </w:r>
      <w:r>
        <w:rPr>
          <w:spacing w:val="-3"/>
        </w:rPr>
        <w:t> </w:t>
      </w:r>
      <w:r>
        <w:rPr/>
        <w:t>a ANTAQ encaminhou à Companhia Docas do Ceará o Ofício nº 106/2025 (SEI 10036280), cujo objeto tratava do estado de conservação das estruturas da ponte de acesso e da plataforma do Terminal de Combustíveis do Porto de Fortaleza. Posteriormente, em 06/08/2025, a Diretoria da Presidência da CDC, por meio do OFÍCIO Nº 154/2025/DIRPRE-CDC (SEI 10091983), solicitou prorrogação de prazo para apresentação de manifestação técnica até o dia 14/08/2025. Em resposta, a ANTAQ, através do Ofício nº 110/2025/UREFT/GRERE/SFC/ANTAQ (SEI 10123047), concedeu prazo improrrogável até 14/08/2025 para</w:t>
      </w:r>
      <w:r>
        <w:rPr>
          <w:spacing w:val="-4"/>
        </w:rPr>
        <w:t> </w:t>
      </w:r>
      <w:r>
        <w:rPr/>
        <w:t>apresentação</w:t>
      </w:r>
      <w:r>
        <w:rPr>
          <w:spacing w:val="-4"/>
        </w:rPr>
        <w:t> </w:t>
      </w:r>
      <w:r>
        <w:rPr/>
        <w:t>de</w:t>
      </w:r>
      <w:r>
        <w:rPr>
          <w:spacing w:val="-4"/>
        </w:rPr>
        <w:t> </w:t>
      </w:r>
      <w:r>
        <w:rPr/>
        <w:t>diversos</w:t>
      </w:r>
      <w:r>
        <w:rPr>
          <w:spacing w:val="-4"/>
        </w:rPr>
        <w:t> </w:t>
      </w:r>
      <w:r>
        <w:rPr/>
        <w:t>documentos</w:t>
      </w:r>
      <w:r>
        <w:rPr>
          <w:spacing w:val="-4"/>
        </w:rPr>
        <w:t> </w:t>
      </w:r>
      <w:r>
        <w:rPr/>
        <w:t>técnicos,</w:t>
      </w:r>
      <w:r>
        <w:rPr>
          <w:spacing w:val="-4"/>
        </w:rPr>
        <w:t> </w:t>
      </w:r>
      <w:r>
        <w:rPr/>
        <w:t>dentre</w:t>
      </w:r>
      <w:r>
        <w:rPr>
          <w:spacing w:val="-4"/>
        </w:rPr>
        <w:t> </w:t>
      </w:r>
      <w:r>
        <w:rPr/>
        <w:t>eles:</w:t>
      </w:r>
      <w:r>
        <w:rPr>
          <w:spacing w:val="-4"/>
        </w:rPr>
        <w:t> </w:t>
      </w:r>
      <w:r>
        <w:rPr/>
        <w:t>laudo</w:t>
      </w:r>
      <w:r>
        <w:rPr>
          <w:spacing w:val="-4"/>
        </w:rPr>
        <w:t> </w:t>
      </w:r>
      <w:r>
        <w:rPr/>
        <w:t>de</w:t>
      </w:r>
      <w:r>
        <w:rPr>
          <w:spacing w:val="-4"/>
        </w:rPr>
        <w:t> </w:t>
      </w:r>
      <w:r>
        <w:rPr/>
        <w:t>engenharia</w:t>
      </w:r>
      <w:r>
        <w:rPr>
          <w:spacing w:val="-4"/>
        </w:rPr>
        <w:t> </w:t>
      </w:r>
      <w:r>
        <w:rPr/>
        <w:t>atestando</w:t>
      </w:r>
      <w:r>
        <w:rPr>
          <w:spacing w:val="-4"/>
        </w:rPr>
        <w:t> </w:t>
      </w:r>
      <w:r>
        <w:rPr/>
        <w:t>a</w:t>
      </w:r>
      <w:r>
        <w:rPr>
          <w:spacing w:val="-4"/>
        </w:rPr>
        <w:t> </w:t>
      </w:r>
      <w:r>
        <w:rPr/>
        <w:t>segurança estrutural do Píer Petroleiro, cronograma detalhado das obras de recuperação estrutural, relatórios periódicos de monitoramento da estrutura, controle de circulação de veículos na ponte de acesso, além de relatórios contendo medidas corretivas e emergenciais relativas às instalações operacionais e de combate a incêndio. No referido expediente, a</w:t>
      </w:r>
      <w:r>
        <w:rPr>
          <w:spacing w:val="-9"/>
        </w:rPr>
        <w:t> </w:t>
      </w:r>
      <w:r>
        <w:rPr/>
        <w:t>Agência Reguladora advertiu expressamente que o não atendimento às exigências</w:t>
      </w:r>
      <w:r>
        <w:rPr>
          <w:spacing w:val="80"/>
        </w:rPr>
        <w:t> </w:t>
      </w:r>
      <w:r>
        <w:rPr/>
        <w:t>ensejaria</w:t>
      </w:r>
      <w:r>
        <w:rPr>
          <w:spacing w:val="80"/>
        </w:rPr>
        <w:t> </w:t>
      </w:r>
      <w:r>
        <w:rPr/>
        <w:t>a</w:t>
      </w:r>
      <w:r>
        <w:rPr>
          <w:spacing w:val="80"/>
        </w:rPr>
        <w:t> </w:t>
      </w:r>
      <w:r>
        <w:rPr/>
        <w:t>lavratura</w:t>
      </w:r>
      <w:r>
        <w:rPr>
          <w:spacing w:val="80"/>
        </w:rPr>
        <w:t> </w:t>
      </w:r>
      <w:r>
        <w:rPr/>
        <w:t>de</w:t>
      </w:r>
      <w:r>
        <w:rPr>
          <w:spacing w:val="72"/>
        </w:rPr>
        <w:t> </w:t>
      </w:r>
      <w:r>
        <w:rPr/>
        <w:t>Auto</w:t>
      </w:r>
      <w:r>
        <w:rPr>
          <w:spacing w:val="80"/>
        </w:rPr>
        <w:t> </w:t>
      </w:r>
      <w:r>
        <w:rPr/>
        <w:t>de</w:t>
      </w:r>
      <w:r>
        <w:rPr>
          <w:spacing w:val="80"/>
        </w:rPr>
        <w:t> </w:t>
      </w:r>
      <w:r>
        <w:rPr/>
        <w:t>Infração</w:t>
      </w:r>
      <w:r>
        <w:rPr>
          <w:spacing w:val="80"/>
        </w:rPr>
        <w:t> </w:t>
      </w:r>
      <w:r>
        <w:rPr/>
        <w:t>e</w:t>
      </w:r>
      <w:r>
        <w:rPr>
          <w:spacing w:val="80"/>
        </w:rPr>
        <w:t> </w:t>
      </w:r>
      <w:r>
        <w:rPr/>
        <w:t>a</w:t>
      </w:r>
      <w:r>
        <w:rPr>
          <w:spacing w:val="80"/>
        </w:rPr>
        <w:t> </w:t>
      </w:r>
      <w:r>
        <w:rPr/>
        <w:t>instauração</w:t>
      </w:r>
      <w:r>
        <w:rPr>
          <w:spacing w:val="80"/>
        </w:rPr>
        <w:t> </w:t>
      </w:r>
      <w:r>
        <w:rPr/>
        <w:t>de</w:t>
      </w:r>
      <w:r>
        <w:rPr>
          <w:spacing w:val="80"/>
        </w:rPr>
        <w:t> </w:t>
      </w:r>
      <w:r>
        <w:rPr/>
        <w:t>Processo</w:t>
      </w:r>
      <w:r>
        <w:rPr>
          <w:spacing w:val="72"/>
        </w:rPr>
        <w:t> </w:t>
      </w:r>
      <w:r>
        <w:rPr/>
        <w:t>Administrativo</w:t>
      </w:r>
    </w:p>
    <w:p>
      <w:pPr>
        <w:pStyle w:val="BodyText"/>
        <w:spacing w:after="0"/>
        <w:jc w:val="both"/>
        <w:sectPr>
          <w:pgSz w:w="11900" w:h="16840"/>
          <w:pgMar w:header="0" w:footer="181" w:top="500" w:bottom="380" w:left="566" w:right="566"/>
        </w:sectPr>
      </w:pPr>
    </w:p>
    <w:p>
      <w:pPr>
        <w:pStyle w:val="BodyText"/>
        <w:spacing w:before="60"/>
        <w:ind w:right="240"/>
        <w:jc w:val="both"/>
      </w:pPr>
      <w:r>
        <w:rPr/>
        <w:t>Sancionador, nos termos do art. 23 da Resolução nº 3259-ANTAQ/2014 e do art. 33, inciso XV, da Resolução ANTAQ nº 75/2022. Na sequência, em 27/08/2025, a ANTAQ encaminhou o OFÍCIO Nº 121/2025/UREFT/GRERE/SFC/ANTAQ</w:t>
      </w:r>
      <w:r>
        <w:rPr>
          <w:spacing w:val="-1"/>
        </w:rPr>
        <w:t> </w:t>
      </w:r>
      <w:r>
        <w:rPr/>
        <w:t>(SEI</w:t>
      </w:r>
      <w:r>
        <w:rPr>
          <w:spacing w:val="-1"/>
        </w:rPr>
        <w:t> </w:t>
      </w:r>
      <w:r>
        <w:rPr/>
        <w:t>10195330),</w:t>
      </w:r>
      <w:r>
        <w:rPr>
          <w:spacing w:val="-1"/>
        </w:rPr>
        <w:t> </w:t>
      </w:r>
      <w:r>
        <w:rPr/>
        <w:t>acompanhado</w:t>
      </w:r>
      <w:r>
        <w:rPr>
          <w:spacing w:val="-1"/>
        </w:rPr>
        <w:t> </w:t>
      </w:r>
      <w:r>
        <w:rPr/>
        <w:t>do</w:t>
      </w:r>
      <w:r>
        <w:rPr>
          <w:spacing w:val="-11"/>
        </w:rPr>
        <w:t> </w:t>
      </w:r>
      <w:r>
        <w:rPr/>
        <w:t>Auto</w:t>
      </w:r>
      <w:r>
        <w:rPr>
          <w:spacing w:val="-1"/>
        </w:rPr>
        <w:t> </w:t>
      </w:r>
      <w:r>
        <w:rPr/>
        <w:t>de</w:t>
      </w:r>
      <w:r>
        <w:rPr>
          <w:spacing w:val="-1"/>
        </w:rPr>
        <w:t> </w:t>
      </w:r>
      <w:r>
        <w:rPr/>
        <w:t>Infração</w:t>
      </w:r>
      <w:r>
        <w:rPr>
          <w:spacing w:val="-1"/>
        </w:rPr>
        <w:t> </w:t>
      </w:r>
      <w:r>
        <w:rPr/>
        <w:t>nº</w:t>
      </w:r>
      <w:r>
        <w:rPr>
          <w:spacing w:val="-1"/>
        </w:rPr>
        <w:t> </w:t>
      </w:r>
      <w:r>
        <w:rPr/>
        <w:t>007172-2 (SEI 2658714), lavrado em desfavor da Companhia Docas do Ceará, sob a alegação de não prestação das informações e documentos solicitados no prazo fixado no processo nº 50300.012487/2025-23. Posteriormente, em 09/09/2025, a Diretoria da Presidência encaminhou o referido Auto de Infração à CODJUR, por intermédio do SEI 10242674, para elaboração de defesa administrativa. Em 05/12/2025, a CDC apresentou defesa formal à ANTAQ, por meio do OFÍCIO Nº 206/2025/DIRPRE-CDC (SEI 10626380), relatando todo o acompanhamento do processo judicial relacionado à contratação das obras e reconhecendo a legitimidade da atuação fiscalizatória da Agência Reguladora. Cumpre destacar que o atraso no envio dos documentos não resultou de inércia administrativa, mas sim de um cenário de insegurança</w:t>
      </w:r>
      <w:r>
        <w:rPr>
          <w:spacing w:val="-6"/>
        </w:rPr>
        <w:t> </w:t>
      </w:r>
      <w:r>
        <w:rPr/>
        <w:t>jurídica.</w:t>
      </w:r>
      <w:r>
        <w:rPr>
          <w:spacing w:val="-6"/>
        </w:rPr>
        <w:t> </w:t>
      </w:r>
      <w:r>
        <w:rPr/>
        <w:t>O</w:t>
      </w:r>
      <w:r>
        <w:rPr>
          <w:spacing w:val="-6"/>
        </w:rPr>
        <w:t> </w:t>
      </w:r>
      <w:r>
        <w:rPr/>
        <w:t>planejamento</w:t>
      </w:r>
      <w:r>
        <w:rPr>
          <w:spacing w:val="-6"/>
        </w:rPr>
        <w:t> </w:t>
      </w:r>
      <w:r>
        <w:rPr/>
        <w:t>e</w:t>
      </w:r>
      <w:r>
        <w:rPr>
          <w:spacing w:val="-6"/>
        </w:rPr>
        <w:t> </w:t>
      </w:r>
      <w:r>
        <w:rPr/>
        <w:t>a</w:t>
      </w:r>
      <w:r>
        <w:rPr>
          <w:spacing w:val="-6"/>
        </w:rPr>
        <w:t> </w:t>
      </w:r>
      <w:r>
        <w:rPr/>
        <w:t>execução</w:t>
      </w:r>
      <w:r>
        <w:rPr>
          <w:spacing w:val="-6"/>
        </w:rPr>
        <w:t> </w:t>
      </w:r>
      <w:r>
        <w:rPr/>
        <w:t>das</w:t>
      </w:r>
      <w:r>
        <w:rPr>
          <w:spacing w:val="-6"/>
        </w:rPr>
        <w:t> </w:t>
      </w:r>
      <w:r>
        <w:rPr/>
        <w:t>obras</w:t>
      </w:r>
      <w:r>
        <w:rPr>
          <w:spacing w:val="-6"/>
        </w:rPr>
        <w:t> </w:t>
      </w:r>
      <w:r>
        <w:rPr/>
        <w:t>de</w:t>
      </w:r>
      <w:r>
        <w:rPr>
          <w:spacing w:val="-6"/>
        </w:rPr>
        <w:t> </w:t>
      </w:r>
      <w:r>
        <w:rPr/>
        <w:t>recuperação</w:t>
      </w:r>
      <w:r>
        <w:rPr>
          <w:spacing w:val="-6"/>
        </w:rPr>
        <w:t> </w:t>
      </w:r>
      <w:r>
        <w:rPr/>
        <w:t>estrutural</w:t>
      </w:r>
      <w:r>
        <w:rPr>
          <w:spacing w:val="-6"/>
        </w:rPr>
        <w:t> </w:t>
      </w:r>
      <w:r>
        <w:rPr/>
        <w:t>foram</w:t>
      </w:r>
      <w:r>
        <w:rPr>
          <w:spacing w:val="-6"/>
        </w:rPr>
        <w:t> </w:t>
      </w:r>
      <w:r>
        <w:rPr/>
        <w:t>integralmente interrompidos em razão da decisão liminar proferida pelo TRF5 no Agravo de Instrumento nº 0003466- 49.2025.4.05.0000,</w:t>
      </w:r>
      <w:r>
        <w:rPr>
          <w:spacing w:val="-5"/>
        </w:rPr>
        <w:t> </w:t>
      </w:r>
      <w:r>
        <w:rPr/>
        <w:t>que</w:t>
      </w:r>
      <w:r>
        <w:rPr>
          <w:spacing w:val="-5"/>
        </w:rPr>
        <w:t> </w:t>
      </w:r>
      <w:r>
        <w:rPr/>
        <w:t>suspendeu</w:t>
      </w:r>
      <w:r>
        <w:rPr>
          <w:spacing w:val="-5"/>
        </w:rPr>
        <w:t> </w:t>
      </w:r>
      <w:r>
        <w:rPr/>
        <w:t>a</w:t>
      </w:r>
      <w:r>
        <w:rPr>
          <w:spacing w:val="-5"/>
        </w:rPr>
        <w:t> </w:t>
      </w:r>
      <w:r>
        <w:rPr/>
        <w:t>Licitação-CDC</w:t>
      </w:r>
      <w:r>
        <w:rPr>
          <w:spacing w:val="-5"/>
        </w:rPr>
        <w:t> </w:t>
      </w:r>
      <w:r>
        <w:rPr/>
        <w:t>nº</w:t>
      </w:r>
      <w:r>
        <w:rPr>
          <w:spacing w:val="-5"/>
        </w:rPr>
        <w:t> </w:t>
      </w:r>
      <w:r>
        <w:rPr/>
        <w:t>02/2025</w:t>
      </w:r>
      <w:r>
        <w:rPr>
          <w:spacing w:val="-5"/>
        </w:rPr>
        <w:t> </w:t>
      </w:r>
      <w:r>
        <w:rPr/>
        <w:t>e</w:t>
      </w:r>
      <w:r>
        <w:rPr>
          <w:spacing w:val="-5"/>
        </w:rPr>
        <w:t> </w:t>
      </w:r>
      <w:r>
        <w:rPr/>
        <w:t>impediu</w:t>
      </w:r>
      <w:r>
        <w:rPr>
          <w:spacing w:val="-5"/>
        </w:rPr>
        <w:t> </w:t>
      </w:r>
      <w:r>
        <w:rPr/>
        <w:t>a</w:t>
      </w:r>
      <w:r>
        <w:rPr>
          <w:spacing w:val="-5"/>
        </w:rPr>
        <w:t> </w:t>
      </w:r>
      <w:r>
        <w:rPr/>
        <w:t>atuação</w:t>
      </w:r>
      <w:r>
        <w:rPr>
          <w:spacing w:val="-5"/>
        </w:rPr>
        <w:t> </w:t>
      </w:r>
      <w:r>
        <w:rPr/>
        <w:t>da</w:t>
      </w:r>
      <w:r>
        <w:rPr>
          <w:spacing w:val="-5"/>
        </w:rPr>
        <w:t> </w:t>
      </w:r>
      <w:r>
        <w:rPr/>
        <w:t>empresa</w:t>
      </w:r>
      <w:r>
        <w:rPr>
          <w:spacing w:val="-5"/>
        </w:rPr>
        <w:t> </w:t>
      </w:r>
      <w:r>
        <w:rPr/>
        <w:t>contratada para execução dos serviços. Dessa forma, a impossibilidade de apresentação de cronograma executivo e demais elementos correlatos decorreu de impedimento legal superveniente, alheio à vontade e à competência técnica dos engenheiros da CDC. Por fim, registra-se que, durante todo o trâmite do processo administrativo junto à ANTAQ, não houve encaminhamento prévio à DIEGEP/CODINF para conhecimento e adoção de providências quanto à elaboração dos relatórios técnicos exigidos pela</w:t>
      </w:r>
      <w:r>
        <w:rPr>
          <w:spacing w:val="-7"/>
        </w:rPr>
        <w:t> </w:t>
      </w:r>
      <w:r>
        <w:rPr/>
        <w:t>Agência Reguladora. A área técnica somente tomou ciência formal das exigências e da necessidade de produção documental após a emissão do</w:t>
      </w:r>
      <w:r>
        <w:rPr>
          <w:spacing w:val="-6"/>
        </w:rPr>
        <w:t> </w:t>
      </w:r>
      <w:r>
        <w:rPr/>
        <w:t>Auto de Infração nº 007172-2, fato que comprometeu a atuação tempestiva da equipe técnica responsável. Quanto às diligências, a CDC continua realizando inspeções periódicas no Píer e encaminhando relatórios tanto da área técnica (CODINF) quanto do Sr. Joaquim Mota (Engenheiro Civil e projetista responsável pela recuperação do Píer). Ressalta-se que esses documentos técnicos estão sendo entregues formalmente à ANTAQ no âmbito de reuniões periódicas de acompanhamento, o que demonstra o estrito cumprimento das obrigações e comprova de forma inequívoca que não houve abandono do objeto originário da infração.</w:t>
      </w:r>
    </w:p>
    <w:p>
      <w:pPr>
        <w:pStyle w:val="BodyText"/>
        <w:spacing w:before="73"/>
        <w:jc w:val="both"/>
      </w:pPr>
      <w:r>
        <w:rPr/>
        <w:t>O</w:t>
      </w:r>
      <w:r>
        <w:rPr>
          <w:spacing w:val="-10"/>
        </w:rPr>
        <w:t> </w:t>
      </w:r>
      <w:r>
        <w:rPr/>
        <w:t>Conselho</w:t>
      </w:r>
      <w:r>
        <w:rPr>
          <w:spacing w:val="-9"/>
        </w:rPr>
        <w:t> </w:t>
      </w:r>
      <w:r>
        <w:rPr/>
        <w:t>consolida</w:t>
      </w:r>
      <w:r>
        <w:rPr>
          <w:spacing w:val="-9"/>
        </w:rPr>
        <w:t> </w:t>
      </w:r>
      <w:r>
        <w:rPr/>
        <w:t>com</w:t>
      </w:r>
      <w:r>
        <w:rPr>
          <w:spacing w:val="-9"/>
        </w:rPr>
        <w:t> </w:t>
      </w:r>
      <w:r>
        <w:rPr/>
        <w:t>a</w:t>
      </w:r>
      <w:r>
        <w:rPr>
          <w:spacing w:val="-9"/>
        </w:rPr>
        <w:t> </w:t>
      </w:r>
      <w:r>
        <w:rPr/>
        <w:t>pendência</w:t>
      </w:r>
      <w:r>
        <w:rPr>
          <w:spacing w:val="-9"/>
        </w:rPr>
        <w:t> </w:t>
      </w:r>
      <w:r>
        <w:rPr/>
        <w:t>que</w:t>
      </w:r>
      <w:r>
        <w:rPr>
          <w:spacing w:val="-9"/>
        </w:rPr>
        <w:t> </w:t>
      </w:r>
      <w:r>
        <w:rPr/>
        <w:t>trata</w:t>
      </w:r>
      <w:r>
        <w:rPr>
          <w:spacing w:val="-9"/>
        </w:rPr>
        <w:t> </w:t>
      </w:r>
      <w:r>
        <w:rPr/>
        <w:t>do</w:t>
      </w:r>
      <w:r>
        <w:rPr>
          <w:spacing w:val="-9"/>
        </w:rPr>
        <w:t> </w:t>
      </w:r>
      <w:r>
        <w:rPr/>
        <w:t>mesmo</w:t>
      </w:r>
      <w:r>
        <w:rPr>
          <w:spacing w:val="-9"/>
        </w:rPr>
        <w:t> </w:t>
      </w:r>
      <w:r>
        <w:rPr/>
        <w:t>assunto,</w:t>
      </w:r>
      <w:r>
        <w:rPr>
          <w:spacing w:val="-9"/>
        </w:rPr>
        <w:t> </w:t>
      </w:r>
      <w:r>
        <w:rPr/>
        <w:t>ressaltando</w:t>
      </w:r>
      <w:r>
        <w:rPr>
          <w:spacing w:val="-9"/>
        </w:rPr>
        <w:t> </w:t>
      </w:r>
      <w:r>
        <w:rPr/>
        <w:t>a</w:t>
      </w:r>
      <w:r>
        <w:rPr>
          <w:spacing w:val="-9"/>
        </w:rPr>
        <w:t> </w:t>
      </w:r>
      <w:r>
        <w:rPr>
          <w:spacing w:val="-2"/>
        </w:rPr>
        <w:t>reincidência.</w:t>
      </w:r>
    </w:p>
    <w:p>
      <w:pPr>
        <w:pStyle w:val="BodyText"/>
        <w:spacing w:before="234"/>
        <w:ind w:left="0"/>
      </w:pPr>
    </w:p>
    <w:p>
      <w:pPr>
        <w:pStyle w:val="BodyText"/>
        <w:spacing w:before="1"/>
        <w:ind w:right="242"/>
        <w:jc w:val="both"/>
      </w:pPr>
      <w:r>
        <w:rPr>
          <w:b/>
          <w:u w:val="single"/>
        </w:rPr>
        <w:t>Análise do Balancete e acompanhamento mensal dos resultados econômicos – financeiros – janeiro /</w:t>
      </w:r>
      <w:r>
        <w:rPr>
          <w:b/>
        </w:rPr>
        <w:t> </w:t>
      </w:r>
      <w:r>
        <w:rPr>
          <w:b/>
          <w:u w:val="single"/>
        </w:rPr>
        <w:t>2026 - Serviços de Informática -</w:t>
      </w:r>
      <w:r>
        <w:rPr>
          <w:b/>
        </w:rPr>
        <w:t> </w:t>
      </w:r>
      <w:r>
        <w:rPr/>
        <w:t>A DIREXE, através do Comunicado nº 6/2026/DIREXE-CDC, encaminhou, em anexo, a relação consolidada dos contratos vigentes da Companhia Docas do Ceará que possuem por objeto a prestação de serviços de tecnologia da informação, incluindo sistemas corporativos, infraestrutura, computação em nuvem, telecomunicações, segurança da informação, desenvolvimento de software e suporte técnico especializado. Adicionalmente, encaminhamos a planilha “Planejamento de Contratações de TI – 2026/2027”, contendo as contratações em fase de instrução ou planejamento para o exercício corrente.</w:t>
      </w:r>
    </w:p>
    <w:p>
      <w:pPr>
        <w:pStyle w:val="BodyText"/>
        <w:spacing w:before="105"/>
        <w:ind w:right="286"/>
        <w:jc w:val="both"/>
      </w:pPr>
      <w:r>
        <w:rPr/>
        <w:t>O Conselho solicita que o documento seja ajustado, incluindo o devido valor global do contrato de CFTV, bem como esclarecimentos acerca da não inclusão da contratação do ERP.</w:t>
      </w:r>
    </w:p>
    <w:p>
      <w:pPr>
        <w:pStyle w:val="BodyText"/>
        <w:spacing w:before="233"/>
        <w:ind w:left="0"/>
      </w:pPr>
    </w:p>
    <w:p>
      <w:pPr>
        <w:pStyle w:val="BodyText"/>
        <w:ind w:right="243"/>
        <w:jc w:val="both"/>
      </w:pPr>
      <w:r>
        <w:rPr>
          <w:b/>
          <w:u w:val="single"/>
        </w:rPr>
        <w:t>Atas da 2540ª a 2542ª Reuniões Ordinárias e 95ª e 96ª Reuniões Extraordinárias da DIREXE,</w:t>
      </w:r>
      <w:r>
        <w:rPr>
          <w:b/>
        </w:rPr>
        <w:t> </w:t>
      </w:r>
      <w:r>
        <w:rPr>
          <w:b/>
          <w:u w:val="single"/>
        </w:rPr>
        <w:t>realizadas em março e abril/2026 - Guarita Portuária -</w:t>
      </w:r>
      <w:r>
        <w:rPr>
          <w:b/>
        </w:rPr>
        <w:t> </w:t>
      </w:r>
      <w:r>
        <w:rPr/>
        <w:t>A DIREXE, através do Comunicado nº 6/2026/DIREXE-CDC, informou que a construção da nova Guarita Portuária no acesso ao Terminal Marítimo de Passageiros (TMP) não configura fracionamento de despesa, mas sim uma correção técnica decorrente de uma omissão e deficiência no projeto executivo original da obra do novo acesso. O projeto executivo originalmente licitado e contratado, através da empresa COMOL, limitou-se, de forma estrita, à infraestrutura viária de acesso, deixando de contemplar as estruturas essenciais de segurança operacional e controle patrimonial necessárias para o funcionamento daquela área alfandegada. Diante dessa lacuna técnica do projeto e da iminência de se concluir uma via de acesso sem a devida portaria de controle, a Diretoria da Presidência identificou a necessidade imperiosa de intervir, determinando a implantação da guarita para garantir a proteção das operações e a conformidade com as normas de segurança portuária (ISPS Code). Como a inclusão tardia desse escopo no contrato principal poderia gerar desequilíbrio econômico-financeiro ou comprometer o cronograma da obra viária, optou-se pela contratação direta e segregada.</w:t>
      </w:r>
      <w:r>
        <w:rPr>
          <w:spacing w:val="71"/>
        </w:rPr>
        <w:t> </w:t>
      </w:r>
      <w:r>
        <w:rPr/>
        <w:t>Portanto,</w:t>
      </w:r>
      <w:r>
        <w:rPr>
          <w:spacing w:val="71"/>
        </w:rPr>
        <w:t> </w:t>
      </w:r>
      <w:r>
        <w:rPr/>
        <w:t>a</w:t>
      </w:r>
      <w:r>
        <w:rPr>
          <w:spacing w:val="71"/>
        </w:rPr>
        <w:t> </w:t>
      </w:r>
      <w:r>
        <w:rPr/>
        <w:t>contratação</w:t>
      </w:r>
      <w:r>
        <w:rPr>
          <w:spacing w:val="71"/>
        </w:rPr>
        <w:t> </w:t>
      </w:r>
      <w:r>
        <w:rPr/>
        <w:t>da</w:t>
      </w:r>
      <w:r>
        <w:rPr>
          <w:spacing w:val="71"/>
        </w:rPr>
        <w:t> </w:t>
      </w:r>
      <w:r>
        <w:rPr/>
        <w:t>guarita</w:t>
      </w:r>
      <w:r>
        <w:rPr>
          <w:spacing w:val="71"/>
        </w:rPr>
        <w:t> </w:t>
      </w:r>
      <w:r>
        <w:rPr/>
        <w:t>funcionou</w:t>
      </w:r>
      <w:r>
        <w:rPr>
          <w:spacing w:val="71"/>
        </w:rPr>
        <w:t> </w:t>
      </w:r>
      <w:r>
        <w:rPr/>
        <w:t>de</w:t>
      </w:r>
      <w:r>
        <w:rPr>
          <w:spacing w:val="72"/>
        </w:rPr>
        <w:t> </w:t>
      </w:r>
      <w:r>
        <w:rPr/>
        <w:t>maneira</w:t>
      </w:r>
      <w:r>
        <w:rPr>
          <w:spacing w:val="72"/>
        </w:rPr>
        <w:t> </w:t>
      </w:r>
      <w:r>
        <w:rPr/>
        <w:t>independente</w:t>
      </w:r>
      <w:r>
        <w:rPr>
          <w:spacing w:val="72"/>
        </w:rPr>
        <w:t> </w:t>
      </w:r>
      <w:r>
        <w:rPr/>
        <w:t>e</w:t>
      </w:r>
      <w:r>
        <w:rPr>
          <w:spacing w:val="72"/>
        </w:rPr>
        <w:t> </w:t>
      </w:r>
      <w:r>
        <w:rPr/>
        <w:t>complementar,</w:t>
      </w:r>
    </w:p>
    <w:p>
      <w:pPr>
        <w:pStyle w:val="BodyText"/>
        <w:spacing w:after="0"/>
        <w:jc w:val="both"/>
        <w:sectPr>
          <w:pgSz w:w="11900" w:h="16840"/>
          <w:pgMar w:header="0" w:footer="181" w:top="500" w:bottom="380" w:left="566" w:right="566"/>
        </w:sectPr>
      </w:pPr>
    </w:p>
    <w:p>
      <w:pPr>
        <w:pStyle w:val="BodyText"/>
        <w:spacing w:before="60"/>
        <w:ind w:right="243"/>
        <w:jc w:val="both"/>
      </w:pPr>
      <w:r>
        <w:rPr/>
        <w:t>motivada</w:t>
      </w:r>
      <w:r>
        <w:rPr>
          <w:spacing w:val="-4"/>
        </w:rPr>
        <w:t> </w:t>
      </w:r>
      <w:r>
        <w:rPr/>
        <w:t>por</w:t>
      </w:r>
      <w:r>
        <w:rPr>
          <w:spacing w:val="-4"/>
        </w:rPr>
        <w:t> </w:t>
      </w:r>
      <w:r>
        <w:rPr/>
        <w:t>uma</w:t>
      </w:r>
      <w:r>
        <w:rPr>
          <w:spacing w:val="-4"/>
        </w:rPr>
        <w:t> </w:t>
      </w:r>
      <w:r>
        <w:rPr/>
        <w:t>falha</w:t>
      </w:r>
      <w:r>
        <w:rPr>
          <w:spacing w:val="-4"/>
        </w:rPr>
        <w:t> </w:t>
      </w:r>
      <w:r>
        <w:rPr/>
        <w:t>de</w:t>
      </w:r>
      <w:r>
        <w:rPr>
          <w:spacing w:val="-4"/>
        </w:rPr>
        <w:t> </w:t>
      </w:r>
      <w:r>
        <w:rPr/>
        <w:t>planejamento</w:t>
      </w:r>
      <w:r>
        <w:rPr>
          <w:spacing w:val="-4"/>
        </w:rPr>
        <w:t> </w:t>
      </w:r>
      <w:r>
        <w:rPr/>
        <w:t>no</w:t>
      </w:r>
      <w:r>
        <w:rPr>
          <w:spacing w:val="-4"/>
        </w:rPr>
        <w:t> </w:t>
      </w:r>
      <w:r>
        <w:rPr/>
        <w:t>projeto</w:t>
      </w:r>
      <w:r>
        <w:rPr>
          <w:spacing w:val="-4"/>
        </w:rPr>
        <w:t> </w:t>
      </w:r>
      <w:r>
        <w:rPr/>
        <w:t>executivo</w:t>
      </w:r>
      <w:r>
        <w:rPr>
          <w:spacing w:val="-4"/>
        </w:rPr>
        <w:t> </w:t>
      </w:r>
      <w:r>
        <w:rPr/>
        <w:t>original,</w:t>
      </w:r>
      <w:r>
        <w:rPr>
          <w:spacing w:val="-4"/>
        </w:rPr>
        <w:t> </w:t>
      </w:r>
      <w:r>
        <w:rPr/>
        <w:t>e</w:t>
      </w:r>
      <w:r>
        <w:rPr>
          <w:spacing w:val="-4"/>
        </w:rPr>
        <w:t> </w:t>
      </w:r>
      <w:r>
        <w:rPr/>
        <w:t>seguiu</w:t>
      </w:r>
      <w:r>
        <w:rPr>
          <w:spacing w:val="-4"/>
        </w:rPr>
        <w:t> </w:t>
      </w:r>
      <w:r>
        <w:rPr/>
        <w:t>estritamente</w:t>
      </w:r>
      <w:r>
        <w:rPr>
          <w:spacing w:val="-4"/>
        </w:rPr>
        <w:t> </w:t>
      </w:r>
      <w:r>
        <w:rPr/>
        <w:t>as</w:t>
      </w:r>
      <w:r>
        <w:rPr>
          <w:spacing w:val="-4"/>
        </w:rPr>
        <w:t> </w:t>
      </w:r>
      <w:r>
        <w:rPr/>
        <w:t>diretrizes</w:t>
      </w:r>
      <w:r>
        <w:rPr>
          <w:spacing w:val="-4"/>
        </w:rPr>
        <w:t> </w:t>
      </w:r>
      <w:r>
        <w:rPr/>
        <w:t>e aprovações da Diretoria da Presidência (SEI 10896522), em estrita observância ao interesse público e à eficiência administrativa.</w:t>
      </w:r>
    </w:p>
    <w:p>
      <w:pPr>
        <w:pStyle w:val="BodyText"/>
        <w:spacing w:before="114"/>
        <w:ind w:right="245"/>
        <w:jc w:val="both"/>
      </w:pPr>
      <w:r>
        <w:rPr/>
        <w:t>O</w:t>
      </w:r>
      <w:r>
        <w:rPr>
          <w:spacing w:val="-3"/>
        </w:rPr>
        <w:t> </w:t>
      </w:r>
      <w:r>
        <w:rPr/>
        <w:t>Conselho</w:t>
      </w:r>
      <w:r>
        <w:rPr>
          <w:spacing w:val="-2"/>
        </w:rPr>
        <w:t> </w:t>
      </w:r>
      <w:r>
        <w:rPr/>
        <w:t>ressalta</w:t>
      </w:r>
      <w:r>
        <w:rPr>
          <w:spacing w:val="-2"/>
        </w:rPr>
        <w:t> </w:t>
      </w:r>
      <w:r>
        <w:rPr/>
        <w:t>sua</w:t>
      </w:r>
      <w:r>
        <w:rPr>
          <w:spacing w:val="-2"/>
        </w:rPr>
        <w:t> </w:t>
      </w:r>
      <w:r>
        <w:rPr/>
        <w:t>preocupação</w:t>
      </w:r>
      <w:r>
        <w:rPr>
          <w:spacing w:val="-2"/>
        </w:rPr>
        <w:t> </w:t>
      </w:r>
      <w:r>
        <w:rPr/>
        <w:t>e</w:t>
      </w:r>
      <w:r>
        <w:rPr>
          <w:spacing w:val="-2"/>
        </w:rPr>
        <w:t> </w:t>
      </w:r>
      <w:r>
        <w:rPr/>
        <w:t>alerta</w:t>
      </w:r>
      <w:r>
        <w:rPr>
          <w:spacing w:val="-2"/>
        </w:rPr>
        <w:t> </w:t>
      </w:r>
      <w:r>
        <w:rPr/>
        <w:t>para</w:t>
      </w:r>
      <w:r>
        <w:rPr>
          <w:spacing w:val="-2"/>
        </w:rPr>
        <w:t> </w:t>
      </w:r>
      <w:r>
        <w:rPr/>
        <w:t>o</w:t>
      </w:r>
      <w:r>
        <w:rPr>
          <w:spacing w:val="-2"/>
        </w:rPr>
        <w:t> </w:t>
      </w:r>
      <w:r>
        <w:rPr/>
        <w:t>inadequado</w:t>
      </w:r>
      <w:r>
        <w:rPr>
          <w:spacing w:val="-2"/>
        </w:rPr>
        <w:t> </w:t>
      </w:r>
      <w:r>
        <w:rPr/>
        <w:t>planejamento</w:t>
      </w:r>
      <w:r>
        <w:rPr>
          <w:spacing w:val="-2"/>
        </w:rPr>
        <w:t> </w:t>
      </w:r>
      <w:r>
        <w:rPr/>
        <w:t>da</w:t>
      </w:r>
      <w:r>
        <w:rPr>
          <w:spacing w:val="-2"/>
        </w:rPr>
        <w:t> </w:t>
      </w:r>
      <w:r>
        <w:rPr/>
        <w:t>CDC,</w:t>
      </w:r>
      <w:r>
        <w:rPr>
          <w:spacing w:val="-2"/>
        </w:rPr>
        <w:t> </w:t>
      </w:r>
      <w:r>
        <w:rPr/>
        <w:t>consignando</w:t>
      </w:r>
      <w:r>
        <w:rPr>
          <w:spacing w:val="-2"/>
        </w:rPr>
        <w:t> </w:t>
      </w:r>
      <w:r>
        <w:rPr/>
        <w:t>que</w:t>
      </w:r>
      <w:r>
        <w:rPr>
          <w:spacing w:val="-2"/>
        </w:rPr>
        <w:t> </w:t>
      </w:r>
      <w:r>
        <w:rPr/>
        <w:t>o próprio reconhecimento da falha pela gestão evidencia que a guarita deveria ter sido contemplada no contrato original. Ressalta, ainda, que, diante da contratação emergencial realizada, a guarita também poderia ter sido incluída no respectivo objeto contratual.</w:t>
      </w:r>
    </w:p>
    <w:p>
      <w:pPr>
        <w:pStyle w:val="BodyText"/>
        <w:spacing w:before="230"/>
        <w:ind w:left="0"/>
      </w:pPr>
    </w:p>
    <w:p>
      <w:pPr>
        <w:spacing w:before="0"/>
        <w:ind w:left="242" w:right="243" w:firstLine="0"/>
        <w:jc w:val="both"/>
        <w:rPr>
          <w:sz w:val="24"/>
        </w:rPr>
      </w:pPr>
      <w:r>
        <w:rPr>
          <w:b/>
          <w:sz w:val="24"/>
          <w:u w:val="single"/>
        </w:rPr>
        <w:t>Atas da 2540ª a 2542ª Reuniões Ordinárias e 95ª e 96ª Reuniões Extraordinárias da DIREXE,</w:t>
      </w:r>
      <w:r>
        <w:rPr>
          <w:b/>
          <w:sz w:val="24"/>
        </w:rPr>
        <w:t> </w:t>
      </w:r>
      <w:r>
        <w:rPr>
          <w:b/>
          <w:sz w:val="24"/>
          <w:u w:val="single"/>
        </w:rPr>
        <w:t>realizadas em março e abril/2026 - Defensas marítimas -</w:t>
      </w:r>
      <w:r>
        <w:rPr>
          <w:b/>
          <w:sz w:val="24"/>
        </w:rPr>
        <w:t> </w:t>
      </w:r>
      <w:r>
        <w:rPr>
          <w:sz w:val="24"/>
        </w:rPr>
        <w:t>A DIREXE, através do Comunicado nº 6/2026/DIREXE-CDC, informou que o processo encontra-se na CODJUR desde o dia 04/05/2026, conforme Despacho de Distribuição nº 11208887, para análise e manifestação. Permanecemos no aguardo das orientações necessárias para a adoção das providências cabíveis.</w:t>
      </w:r>
    </w:p>
    <w:p>
      <w:pPr>
        <w:pStyle w:val="BodyText"/>
        <w:spacing w:before="111"/>
        <w:jc w:val="both"/>
      </w:pPr>
      <w:r>
        <w:rPr/>
        <w:t>O</w:t>
      </w:r>
      <w:r>
        <w:rPr>
          <w:spacing w:val="-10"/>
        </w:rPr>
        <w:t> </w:t>
      </w:r>
      <w:r>
        <w:rPr/>
        <w:t>Conselho</w:t>
      </w:r>
      <w:r>
        <w:rPr>
          <w:spacing w:val="-10"/>
        </w:rPr>
        <w:t> </w:t>
      </w:r>
      <w:r>
        <w:rPr/>
        <w:t>acompanhará</w:t>
      </w:r>
      <w:r>
        <w:rPr>
          <w:spacing w:val="-10"/>
        </w:rPr>
        <w:t> </w:t>
      </w:r>
      <w:r>
        <w:rPr/>
        <w:t>o</w:t>
      </w:r>
      <w:r>
        <w:rPr>
          <w:spacing w:val="-9"/>
        </w:rPr>
        <w:t> </w:t>
      </w:r>
      <w:r>
        <w:rPr>
          <w:spacing w:val="-2"/>
        </w:rPr>
        <w:t>assunto.</w:t>
      </w:r>
    </w:p>
    <w:p>
      <w:pPr>
        <w:pStyle w:val="BodyText"/>
        <w:spacing w:before="234"/>
        <w:ind w:left="0"/>
      </w:pPr>
    </w:p>
    <w:p>
      <w:pPr>
        <w:pStyle w:val="BodyText"/>
        <w:spacing w:before="1"/>
        <w:ind w:right="244"/>
        <w:jc w:val="both"/>
      </w:pPr>
      <w:r>
        <w:rPr>
          <w:b/>
          <w:u w:val="single"/>
        </w:rPr>
        <w:t>Relatório 01/2025 – Auditoria de Licitações – Comissão Permanente de Licitação -</w:t>
      </w:r>
      <w:r>
        <w:rPr>
          <w:b/>
        </w:rPr>
        <w:t> </w:t>
      </w:r>
      <w:r>
        <w:rPr/>
        <w:t>O CONSAD, através do Comunicado nº 4/2026/CONSAD-CDC, encaminhou, para conhecimento, manifestação apresentada pela Coordenadoria Jurídica sobre o assunto (11270373). O Conselho, diante de todo exposto, recomendou às áreas técnicas envolvidas no processo de contratação da Companhia, tomem as providências necessárias, para que erros dessa natureza não ocorram novamente.</w:t>
      </w:r>
    </w:p>
    <w:p>
      <w:pPr>
        <w:pStyle w:val="BodyText"/>
        <w:spacing w:before="110"/>
        <w:jc w:val="both"/>
      </w:pPr>
      <w:r>
        <w:rPr/>
        <w:t>O</w:t>
      </w:r>
      <w:r>
        <w:rPr>
          <w:spacing w:val="-8"/>
        </w:rPr>
        <w:t> </w:t>
      </w:r>
      <w:r>
        <w:rPr/>
        <w:t>Conselho</w:t>
      </w:r>
      <w:r>
        <w:rPr>
          <w:spacing w:val="-7"/>
        </w:rPr>
        <w:t> </w:t>
      </w:r>
      <w:r>
        <w:rPr/>
        <w:t>retira</w:t>
      </w:r>
      <w:r>
        <w:rPr>
          <w:spacing w:val="-8"/>
        </w:rPr>
        <w:t> </w:t>
      </w:r>
      <w:r>
        <w:rPr/>
        <w:t>a</w:t>
      </w:r>
      <w:r>
        <w:rPr>
          <w:spacing w:val="-7"/>
        </w:rPr>
        <w:t> </w:t>
      </w:r>
      <w:r>
        <w:rPr>
          <w:spacing w:val="-2"/>
        </w:rPr>
        <w:t>pendência.</w:t>
      </w:r>
    </w:p>
    <w:p>
      <w:pPr>
        <w:pStyle w:val="BodyText"/>
        <w:spacing w:before="235"/>
        <w:ind w:left="0"/>
      </w:pPr>
    </w:p>
    <w:p>
      <w:pPr>
        <w:spacing w:before="0"/>
        <w:ind w:left="242" w:right="242" w:firstLine="0"/>
        <w:jc w:val="both"/>
        <w:rPr>
          <w:sz w:val="24"/>
        </w:rPr>
      </w:pPr>
      <w:r>
        <w:rPr>
          <w:b/>
          <w:sz w:val="24"/>
          <w:u w:val="single"/>
        </w:rPr>
        <w:t>Análise do Balanço Patrimonial da CDC de 2025 / Apresentação do Relatório de Administração e</w:t>
      </w:r>
      <w:r>
        <w:rPr>
          <w:b/>
          <w:sz w:val="24"/>
        </w:rPr>
        <w:t> </w:t>
      </w:r>
      <w:r>
        <w:rPr>
          <w:b/>
          <w:sz w:val="24"/>
          <w:u w:val="single"/>
        </w:rPr>
        <w:t>das</w:t>
      </w:r>
      <w:r>
        <w:rPr>
          <w:b/>
          <w:spacing w:val="-5"/>
          <w:sz w:val="24"/>
          <w:u w:val="single"/>
        </w:rPr>
        <w:t> </w:t>
      </w:r>
      <w:r>
        <w:rPr>
          <w:b/>
          <w:sz w:val="24"/>
          <w:u w:val="single"/>
        </w:rPr>
        <w:t>Demonstrações</w:t>
      </w:r>
      <w:r>
        <w:rPr>
          <w:b/>
          <w:spacing w:val="-5"/>
          <w:sz w:val="24"/>
          <w:u w:val="single"/>
        </w:rPr>
        <w:t> </w:t>
      </w:r>
      <w:r>
        <w:rPr>
          <w:b/>
          <w:sz w:val="24"/>
          <w:u w:val="single"/>
        </w:rPr>
        <w:t>Financeiras</w:t>
      </w:r>
      <w:r>
        <w:rPr>
          <w:b/>
          <w:spacing w:val="-5"/>
          <w:sz w:val="24"/>
          <w:u w:val="single"/>
        </w:rPr>
        <w:t> </w:t>
      </w:r>
      <w:r>
        <w:rPr>
          <w:b/>
          <w:sz w:val="24"/>
          <w:u w:val="single"/>
        </w:rPr>
        <w:t>2025</w:t>
      </w:r>
      <w:r>
        <w:rPr>
          <w:b/>
          <w:spacing w:val="-5"/>
          <w:sz w:val="24"/>
          <w:u w:val="single"/>
        </w:rPr>
        <w:t> </w:t>
      </w:r>
      <w:r>
        <w:rPr>
          <w:b/>
          <w:sz w:val="24"/>
          <w:u w:val="single"/>
        </w:rPr>
        <w:t>/</w:t>
      </w:r>
      <w:r>
        <w:rPr>
          <w:b/>
          <w:spacing w:val="-5"/>
          <w:sz w:val="24"/>
          <w:u w:val="single"/>
        </w:rPr>
        <w:t> </w:t>
      </w:r>
      <w:r>
        <w:rPr>
          <w:b/>
          <w:sz w:val="24"/>
          <w:u w:val="single"/>
        </w:rPr>
        <w:t>Deliberação</w:t>
      </w:r>
      <w:r>
        <w:rPr>
          <w:b/>
          <w:spacing w:val="-5"/>
          <w:sz w:val="24"/>
          <w:u w:val="single"/>
        </w:rPr>
        <w:t> </w:t>
      </w:r>
      <w:r>
        <w:rPr>
          <w:b/>
          <w:sz w:val="24"/>
          <w:u w:val="single"/>
        </w:rPr>
        <w:t>sobre</w:t>
      </w:r>
      <w:r>
        <w:rPr>
          <w:b/>
          <w:spacing w:val="-5"/>
          <w:sz w:val="24"/>
          <w:u w:val="single"/>
        </w:rPr>
        <w:t> </w:t>
      </w:r>
      <w:r>
        <w:rPr>
          <w:b/>
          <w:sz w:val="24"/>
          <w:u w:val="single"/>
        </w:rPr>
        <w:t>a</w:t>
      </w:r>
      <w:r>
        <w:rPr>
          <w:b/>
          <w:spacing w:val="-5"/>
          <w:sz w:val="24"/>
          <w:u w:val="single"/>
        </w:rPr>
        <w:t> </w:t>
      </w:r>
      <w:r>
        <w:rPr>
          <w:b/>
          <w:sz w:val="24"/>
          <w:u w:val="single"/>
        </w:rPr>
        <w:t>proposta</w:t>
      </w:r>
      <w:r>
        <w:rPr>
          <w:b/>
          <w:spacing w:val="-5"/>
          <w:sz w:val="24"/>
          <w:u w:val="single"/>
        </w:rPr>
        <w:t> </w:t>
      </w:r>
      <w:r>
        <w:rPr>
          <w:b/>
          <w:sz w:val="24"/>
          <w:u w:val="single"/>
        </w:rPr>
        <w:t>da</w:t>
      </w:r>
      <w:r>
        <w:rPr>
          <w:b/>
          <w:spacing w:val="-5"/>
          <w:sz w:val="24"/>
          <w:u w:val="single"/>
        </w:rPr>
        <w:t> </w:t>
      </w:r>
      <w:r>
        <w:rPr>
          <w:b/>
          <w:sz w:val="24"/>
          <w:u w:val="single"/>
        </w:rPr>
        <w:t>Diretoria</w:t>
      </w:r>
      <w:r>
        <w:rPr>
          <w:b/>
          <w:spacing w:val="-5"/>
          <w:sz w:val="24"/>
          <w:u w:val="single"/>
        </w:rPr>
        <w:t> </w:t>
      </w:r>
      <w:r>
        <w:rPr>
          <w:b/>
          <w:sz w:val="24"/>
          <w:u w:val="single"/>
        </w:rPr>
        <w:t>para</w:t>
      </w:r>
      <w:r>
        <w:rPr>
          <w:b/>
          <w:spacing w:val="-5"/>
          <w:sz w:val="24"/>
          <w:u w:val="single"/>
        </w:rPr>
        <w:t> </w:t>
      </w:r>
      <w:r>
        <w:rPr>
          <w:b/>
          <w:sz w:val="24"/>
          <w:u w:val="single"/>
        </w:rPr>
        <w:t>Destinação</w:t>
      </w:r>
      <w:r>
        <w:rPr>
          <w:b/>
          <w:spacing w:val="-5"/>
          <w:sz w:val="24"/>
          <w:u w:val="single"/>
        </w:rPr>
        <w:t> </w:t>
      </w:r>
      <w:r>
        <w:rPr>
          <w:b/>
          <w:sz w:val="24"/>
          <w:u w:val="single"/>
        </w:rPr>
        <w:t>do</w:t>
      </w:r>
      <w:r>
        <w:rPr>
          <w:b/>
          <w:sz w:val="24"/>
        </w:rPr>
        <w:t> </w:t>
      </w:r>
      <w:r>
        <w:rPr>
          <w:b/>
          <w:sz w:val="24"/>
          <w:u w:val="single"/>
        </w:rPr>
        <w:t>Resultado da CDC no exercício de 2025 – Calendário Relatório Coaud -</w:t>
      </w:r>
      <w:r>
        <w:rPr>
          <w:b/>
          <w:sz w:val="24"/>
        </w:rPr>
        <w:t> </w:t>
      </w:r>
      <w:r>
        <w:rPr>
          <w:sz w:val="24"/>
        </w:rPr>
        <w:t>O CONSAD, através do Comunicado</w:t>
      </w:r>
      <w:r>
        <w:rPr>
          <w:spacing w:val="-8"/>
          <w:sz w:val="24"/>
        </w:rPr>
        <w:t> </w:t>
      </w:r>
      <w:r>
        <w:rPr>
          <w:sz w:val="24"/>
        </w:rPr>
        <w:t>nº</w:t>
      </w:r>
      <w:r>
        <w:rPr>
          <w:spacing w:val="-8"/>
          <w:sz w:val="24"/>
        </w:rPr>
        <w:t> </w:t>
      </w:r>
      <w:r>
        <w:rPr>
          <w:sz w:val="24"/>
        </w:rPr>
        <w:t>4/2026/CONSAD-CDC,</w:t>
      </w:r>
      <w:r>
        <w:rPr>
          <w:spacing w:val="-8"/>
          <w:sz w:val="24"/>
        </w:rPr>
        <w:t> </w:t>
      </w:r>
      <w:r>
        <w:rPr>
          <w:sz w:val="24"/>
        </w:rPr>
        <w:t>ratificou</w:t>
      </w:r>
      <w:r>
        <w:rPr>
          <w:spacing w:val="-8"/>
          <w:sz w:val="24"/>
        </w:rPr>
        <w:t> </w:t>
      </w:r>
      <w:r>
        <w:rPr>
          <w:sz w:val="24"/>
        </w:rPr>
        <w:t>a</w:t>
      </w:r>
      <w:r>
        <w:rPr>
          <w:spacing w:val="-8"/>
          <w:sz w:val="24"/>
        </w:rPr>
        <w:t> </w:t>
      </w:r>
      <w:r>
        <w:rPr>
          <w:sz w:val="24"/>
        </w:rPr>
        <w:t>necessidade</w:t>
      </w:r>
      <w:r>
        <w:rPr>
          <w:spacing w:val="-8"/>
          <w:sz w:val="24"/>
        </w:rPr>
        <w:t> </w:t>
      </w:r>
      <w:r>
        <w:rPr>
          <w:sz w:val="24"/>
        </w:rPr>
        <w:t>de</w:t>
      </w:r>
      <w:r>
        <w:rPr>
          <w:spacing w:val="-8"/>
          <w:sz w:val="24"/>
        </w:rPr>
        <w:t> </w:t>
      </w:r>
      <w:r>
        <w:rPr>
          <w:sz w:val="24"/>
        </w:rPr>
        <w:t>reavaliação</w:t>
      </w:r>
      <w:r>
        <w:rPr>
          <w:spacing w:val="-8"/>
          <w:sz w:val="24"/>
        </w:rPr>
        <w:t> </w:t>
      </w:r>
      <w:r>
        <w:rPr>
          <w:sz w:val="24"/>
        </w:rPr>
        <w:t>do</w:t>
      </w:r>
      <w:r>
        <w:rPr>
          <w:spacing w:val="-8"/>
          <w:sz w:val="24"/>
        </w:rPr>
        <w:t> </w:t>
      </w:r>
      <w:r>
        <w:rPr>
          <w:sz w:val="24"/>
        </w:rPr>
        <w:t>calendário</w:t>
      </w:r>
      <w:r>
        <w:rPr>
          <w:spacing w:val="-8"/>
          <w:sz w:val="24"/>
        </w:rPr>
        <w:t> </w:t>
      </w:r>
      <w:r>
        <w:rPr>
          <w:sz w:val="24"/>
        </w:rPr>
        <w:t>de</w:t>
      </w:r>
      <w:r>
        <w:rPr>
          <w:spacing w:val="-8"/>
          <w:sz w:val="24"/>
        </w:rPr>
        <w:t> </w:t>
      </w:r>
      <w:r>
        <w:rPr>
          <w:sz w:val="24"/>
        </w:rPr>
        <w:t>análise</w:t>
      </w:r>
      <w:r>
        <w:rPr>
          <w:spacing w:val="-8"/>
          <w:sz w:val="24"/>
        </w:rPr>
        <w:t> </w:t>
      </w:r>
      <w:r>
        <w:rPr>
          <w:sz w:val="24"/>
        </w:rPr>
        <w:t>das demonstrações</w:t>
      </w:r>
      <w:r>
        <w:rPr>
          <w:spacing w:val="-5"/>
          <w:sz w:val="24"/>
        </w:rPr>
        <w:t> </w:t>
      </w:r>
      <w:r>
        <w:rPr>
          <w:sz w:val="24"/>
        </w:rPr>
        <w:t>financeiras,</w:t>
      </w:r>
      <w:r>
        <w:rPr>
          <w:spacing w:val="-5"/>
          <w:sz w:val="24"/>
        </w:rPr>
        <w:t> </w:t>
      </w:r>
      <w:r>
        <w:rPr>
          <w:sz w:val="24"/>
        </w:rPr>
        <w:t>solicitando</w:t>
      </w:r>
      <w:r>
        <w:rPr>
          <w:spacing w:val="-5"/>
          <w:sz w:val="24"/>
        </w:rPr>
        <w:t> </w:t>
      </w:r>
      <w:r>
        <w:rPr>
          <w:sz w:val="24"/>
        </w:rPr>
        <w:t>que</w:t>
      </w:r>
      <w:r>
        <w:rPr>
          <w:spacing w:val="-5"/>
          <w:sz w:val="24"/>
        </w:rPr>
        <w:t> </w:t>
      </w:r>
      <w:r>
        <w:rPr>
          <w:sz w:val="24"/>
        </w:rPr>
        <w:t>a</w:t>
      </w:r>
      <w:r>
        <w:rPr>
          <w:spacing w:val="-5"/>
          <w:sz w:val="24"/>
        </w:rPr>
        <w:t> </w:t>
      </w:r>
      <w:r>
        <w:rPr>
          <w:sz w:val="24"/>
        </w:rPr>
        <w:t>Diretoria</w:t>
      </w:r>
      <w:r>
        <w:rPr>
          <w:spacing w:val="-5"/>
          <w:sz w:val="24"/>
        </w:rPr>
        <w:t> </w:t>
      </w:r>
      <w:r>
        <w:rPr>
          <w:sz w:val="24"/>
        </w:rPr>
        <w:t>observe</w:t>
      </w:r>
      <w:r>
        <w:rPr>
          <w:spacing w:val="-5"/>
          <w:sz w:val="24"/>
        </w:rPr>
        <w:t> </w:t>
      </w:r>
      <w:r>
        <w:rPr>
          <w:sz w:val="24"/>
        </w:rPr>
        <w:t>e</w:t>
      </w:r>
      <w:r>
        <w:rPr>
          <w:spacing w:val="-5"/>
          <w:sz w:val="24"/>
        </w:rPr>
        <w:t> </w:t>
      </w:r>
      <w:r>
        <w:rPr>
          <w:sz w:val="24"/>
        </w:rPr>
        <w:t>cumpra</w:t>
      </w:r>
      <w:r>
        <w:rPr>
          <w:spacing w:val="-5"/>
          <w:sz w:val="24"/>
        </w:rPr>
        <w:t> </w:t>
      </w:r>
      <w:r>
        <w:rPr>
          <w:sz w:val="24"/>
        </w:rPr>
        <w:t>os</w:t>
      </w:r>
      <w:r>
        <w:rPr>
          <w:spacing w:val="-5"/>
          <w:sz w:val="24"/>
        </w:rPr>
        <w:t> </w:t>
      </w:r>
      <w:r>
        <w:rPr>
          <w:sz w:val="24"/>
        </w:rPr>
        <w:t>prazos</w:t>
      </w:r>
      <w:r>
        <w:rPr>
          <w:spacing w:val="-5"/>
          <w:sz w:val="24"/>
        </w:rPr>
        <w:t> </w:t>
      </w:r>
      <w:r>
        <w:rPr>
          <w:sz w:val="24"/>
        </w:rPr>
        <w:t>que</w:t>
      </w:r>
      <w:r>
        <w:rPr>
          <w:spacing w:val="-5"/>
          <w:sz w:val="24"/>
        </w:rPr>
        <w:t> </w:t>
      </w:r>
      <w:r>
        <w:rPr>
          <w:sz w:val="24"/>
        </w:rPr>
        <w:t>serão</w:t>
      </w:r>
      <w:r>
        <w:rPr>
          <w:spacing w:val="-5"/>
          <w:sz w:val="24"/>
        </w:rPr>
        <w:t> </w:t>
      </w:r>
      <w:r>
        <w:rPr>
          <w:sz w:val="24"/>
        </w:rPr>
        <w:t>estabelecidos.</w:t>
      </w:r>
    </w:p>
    <w:p>
      <w:pPr>
        <w:pStyle w:val="BodyText"/>
        <w:spacing w:before="228"/>
        <w:ind w:left="0"/>
      </w:pPr>
    </w:p>
    <w:p>
      <w:pPr>
        <w:pStyle w:val="BodyText"/>
        <w:jc w:val="both"/>
      </w:pPr>
      <w:r>
        <w:rPr/>
        <w:t>O</w:t>
      </w:r>
      <w:r>
        <w:rPr>
          <w:spacing w:val="-10"/>
        </w:rPr>
        <w:t> </w:t>
      </w:r>
      <w:r>
        <w:rPr/>
        <w:t>Conselho</w:t>
      </w:r>
      <w:r>
        <w:rPr>
          <w:spacing w:val="-10"/>
        </w:rPr>
        <w:t> </w:t>
      </w:r>
      <w:r>
        <w:rPr/>
        <w:t>acompanhará</w:t>
      </w:r>
      <w:r>
        <w:rPr>
          <w:spacing w:val="-10"/>
        </w:rPr>
        <w:t> </w:t>
      </w:r>
      <w:r>
        <w:rPr/>
        <w:t>o</w:t>
      </w:r>
      <w:r>
        <w:rPr>
          <w:spacing w:val="-9"/>
        </w:rPr>
        <w:t> </w:t>
      </w:r>
      <w:r>
        <w:rPr>
          <w:spacing w:val="-2"/>
        </w:rPr>
        <w:t>assunto.</w:t>
      </w:r>
    </w:p>
    <w:p>
      <w:pPr>
        <w:pStyle w:val="BodyText"/>
        <w:spacing w:before="235"/>
        <w:ind w:left="0"/>
      </w:pPr>
    </w:p>
    <w:p>
      <w:pPr>
        <w:pStyle w:val="BodyText"/>
        <w:ind w:right="248"/>
        <w:jc w:val="both"/>
      </w:pPr>
      <w:r>
        <w:rPr>
          <w:b/>
          <w:u w:val="single"/>
        </w:rPr>
        <w:t>Diligência 03/2026 – Remuneração dos Dirigentes 2025/2026 -</w:t>
      </w:r>
      <w:r>
        <w:rPr>
          <w:b/>
        </w:rPr>
        <w:t> </w:t>
      </w:r>
      <w:r>
        <w:rPr/>
        <w:t>O CONSAD, através do Comunicado nº 4/2026/CONSAD-CDC, informou que encaminhou ao Coordenadoria de Recursos Humanos, recomendação a fim de que no exercício de 2027, o pagamento de 13º salário dos dirigentes, ocorra dentro do período aprovado pelas instâncias competentes.</w:t>
      </w:r>
    </w:p>
    <w:p>
      <w:pPr>
        <w:pStyle w:val="BodyText"/>
        <w:spacing w:before="230"/>
        <w:ind w:left="0"/>
      </w:pPr>
    </w:p>
    <w:p>
      <w:pPr>
        <w:pStyle w:val="BodyText"/>
        <w:jc w:val="both"/>
      </w:pPr>
      <w:r>
        <w:rPr/>
        <w:t>O</w:t>
      </w:r>
      <w:r>
        <w:rPr>
          <w:spacing w:val="-8"/>
        </w:rPr>
        <w:t> </w:t>
      </w:r>
      <w:r>
        <w:rPr/>
        <w:t>Conselho</w:t>
      </w:r>
      <w:r>
        <w:rPr>
          <w:spacing w:val="-7"/>
        </w:rPr>
        <w:t> </w:t>
      </w:r>
      <w:r>
        <w:rPr/>
        <w:t>retira</w:t>
      </w:r>
      <w:r>
        <w:rPr>
          <w:spacing w:val="-8"/>
        </w:rPr>
        <w:t> </w:t>
      </w:r>
      <w:r>
        <w:rPr/>
        <w:t>a</w:t>
      </w:r>
      <w:r>
        <w:rPr>
          <w:spacing w:val="-7"/>
        </w:rPr>
        <w:t> </w:t>
      </w:r>
      <w:r>
        <w:rPr>
          <w:spacing w:val="-2"/>
        </w:rPr>
        <w:t>pendência.</w:t>
      </w:r>
    </w:p>
    <w:p>
      <w:pPr>
        <w:pStyle w:val="BodyText"/>
        <w:spacing w:before="235"/>
        <w:ind w:left="0"/>
      </w:pPr>
    </w:p>
    <w:p>
      <w:pPr>
        <w:spacing w:before="0"/>
        <w:ind w:left="242" w:right="247" w:firstLine="0"/>
        <w:jc w:val="both"/>
        <w:rPr>
          <w:sz w:val="24"/>
        </w:rPr>
      </w:pPr>
      <w:r>
        <w:rPr>
          <w:b/>
          <w:sz w:val="24"/>
          <w:u w:val="single"/>
        </w:rPr>
        <w:t>Minuta da Ata da 608ª Reunião Ordinária do CONSAD -</w:t>
      </w:r>
      <w:r>
        <w:rPr>
          <w:b/>
          <w:sz w:val="24"/>
        </w:rPr>
        <w:t> </w:t>
      </w:r>
      <w:r>
        <w:rPr>
          <w:sz w:val="24"/>
        </w:rPr>
        <w:t>O CONSAD, através do Comunicado nº 4/2026/CONSAD-CDC,</w:t>
      </w:r>
      <w:r>
        <w:rPr>
          <w:spacing w:val="-6"/>
          <w:sz w:val="24"/>
        </w:rPr>
        <w:t> </w:t>
      </w:r>
      <w:r>
        <w:rPr>
          <w:sz w:val="24"/>
        </w:rPr>
        <w:t>informou</w:t>
      </w:r>
      <w:r>
        <w:rPr>
          <w:spacing w:val="-6"/>
          <w:sz w:val="24"/>
        </w:rPr>
        <w:t> </w:t>
      </w:r>
      <w:r>
        <w:rPr>
          <w:sz w:val="24"/>
        </w:rPr>
        <w:t>que</w:t>
      </w:r>
      <w:r>
        <w:rPr>
          <w:spacing w:val="-6"/>
          <w:sz w:val="24"/>
        </w:rPr>
        <w:t> </w:t>
      </w:r>
      <w:r>
        <w:rPr>
          <w:sz w:val="24"/>
        </w:rPr>
        <w:t>será</w:t>
      </w:r>
      <w:r>
        <w:rPr>
          <w:spacing w:val="-6"/>
          <w:sz w:val="24"/>
        </w:rPr>
        <w:t> </w:t>
      </w:r>
      <w:r>
        <w:rPr>
          <w:sz w:val="24"/>
        </w:rPr>
        <w:t>encaminhada</w:t>
      </w:r>
      <w:r>
        <w:rPr>
          <w:spacing w:val="-6"/>
          <w:sz w:val="24"/>
        </w:rPr>
        <w:t> </w:t>
      </w:r>
      <w:r>
        <w:rPr>
          <w:sz w:val="24"/>
        </w:rPr>
        <w:t>à</w:t>
      </w:r>
      <w:r>
        <w:rPr>
          <w:spacing w:val="-6"/>
          <w:sz w:val="24"/>
        </w:rPr>
        <w:t> </w:t>
      </w:r>
      <w:r>
        <w:rPr>
          <w:sz w:val="24"/>
        </w:rPr>
        <w:t>Coordenadoria</w:t>
      </w:r>
      <w:r>
        <w:rPr>
          <w:spacing w:val="-6"/>
          <w:sz w:val="24"/>
        </w:rPr>
        <w:t> </w:t>
      </w:r>
      <w:r>
        <w:rPr>
          <w:sz w:val="24"/>
        </w:rPr>
        <w:t>Jurídica</w:t>
      </w:r>
      <w:r>
        <w:rPr>
          <w:spacing w:val="-6"/>
          <w:sz w:val="24"/>
        </w:rPr>
        <w:t> </w:t>
      </w:r>
      <w:r>
        <w:rPr>
          <w:sz w:val="24"/>
        </w:rPr>
        <w:t>da</w:t>
      </w:r>
      <w:r>
        <w:rPr>
          <w:spacing w:val="-5"/>
          <w:sz w:val="24"/>
        </w:rPr>
        <w:t> </w:t>
      </w:r>
      <w:r>
        <w:rPr>
          <w:sz w:val="24"/>
        </w:rPr>
        <w:t>CDC,</w:t>
      </w:r>
      <w:r>
        <w:rPr>
          <w:spacing w:val="-5"/>
          <w:sz w:val="24"/>
        </w:rPr>
        <w:t> </w:t>
      </w:r>
      <w:r>
        <w:rPr>
          <w:sz w:val="24"/>
        </w:rPr>
        <w:t>consulta</w:t>
      </w:r>
      <w:r>
        <w:rPr>
          <w:spacing w:val="-5"/>
          <w:sz w:val="24"/>
        </w:rPr>
        <w:t> </w:t>
      </w:r>
      <w:r>
        <w:rPr>
          <w:sz w:val="24"/>
        </w:rPr>
        <w:t>sobre o assunto.</w:t>
      </w:r>
    </w:p>
    <w:p>
      <w:pPr>
        <w:pStyle w:val="BodyText"/>
        <w:spacing w:before="114"/>
        <w:jc w:val="both"/>
      </w:pPr>
      <w:r>
        <w:rPr/>
        <w:t>O</w:t>
      </w:r>
      <w:r>
        <w:rPr>
          <w:spacing w:val="-10"/>
        </w:rPr>
        <w:t> </w:t>
      </w:r>
      <w:r>
        <w:rPr/>
        <w:t>Conselho</w:t>
      </w:r>
      <w:r>
        <w:rPr>
          <w:spacing w:val="-10"/>
        </w:rPr>
        <w:t> </w:t>
      </w:r>
      <w:r>
        <w:rPr/>
        <w:t>acompanhará</w:t>
      </w:r>
      <w:r>
        <w:rPr>
          <w:spacing w:val="-10"/>
        </w:rPr>
        <w:t> </w:t>
      </w:r>
      <w:r>
        <w:rPr/>
        <w:t>o</w:t>
      </w:r>
      <w:r>
        <w:rPr>
          <w:spacing w:val="-9"/>
        </w:rPr>
        <w:t> </w:t>
      </w:r>
      <w:r>
        <w:rPr>
          <w:spacing w:val="-2"/>
        </w:rPr>
        <w:t>assunto.</w:t>
      </w:r>
    </w:p>
    <w:p>
      <w:pPr>
        <w:pStyle w:val="BodyText"/>
        <w:spacing w:before="235"/>
        <w:ind w:left="0"/>
      </w:pPr>
    </w:p>
    <w:p>
      <w:pPr>
        <w:pStyle w:val="BodyText"/>
        <w:ind w:right="251"/>
        <w:jc w:val="both"/>
      </w:pPr>
      <w:r>
        <w:rPr>
          <w:b/>
          <w:u w:val="single"/>
        </w:rPr>
        <w:t>Plano de Negócios AUDINT 2026 – 2028 -</w:t>
      </w:r>
      <w:r>
        <w:rPr>
          <w:b/>
        </w:rPr>
        <w:t> </w:t>
      </w:r>
      <w:r>
        <w:rPr/>
        <w:t>O CONSAD, através do Comunicado nº 4/2026/CONSAD- CDC, informou que a Diretoria Executiva está tomando as providências necessárias, para criação de uma </w:t>
      </w:r>
      <w:r>
        <w:rPr>
          <w:spacing w:val="-2"/>
        </w:rPr>
        <w:t>corregedoria.</w:t>
      </w:r>
    </w:p>
    <w:p>
      <w:pPr>
        <w:pStyle w:val="BodyText"/>
        <w:spacing w:before="114"/>
        <w:jc w:val="both"/>
      </w:pPr>
      <w:r>
        <w:rPr/>
        <w:t>O</w:t>
      </w:r>
      <w:r>
        <w:rPr>
          <w:spacing w:val="-8"/>
        </w:rPr>
        <w:t> </w:t>
      </w:r>
      <w:r>
        <w:rPr/>
        <w:t>Conselho</w:t>
      </w:r>
      <w:r>
        <w:rPr>
          <w:spacing w:val="-7"/>
        </w:rPr>
        <w:t> </w:t>
      </w:r>
      <w:r>
        <w:rPr/>
        <w:t>retira</w:t>
      </w:r>
      <w:r>
        <w:rPr>
          <w:spacing w:val="-8"/>
        </w:rPr>
        <w:t> </w:t>
      </w:r>
      <w:r>
        <w:rPr/>
        <w:t>a</w:t>
      </w:r>
      <w:r>
        <w:rPr>
          <w:spacing w:val="-7"/>
        </w:rPr>
        <w:t> </w:t>
      </w:r>
      <w:r>
        <w:rPr>
          <w:spacing w:val="-2"/>
        </w:rPr>
        <w:t>pendência.</w:t>
      </w:r>
    </w:p>
    <w:p>
      <w:pPr>
        <w:pStyle w:val="BodyText"/>
        <w:spacing w:after="0"/>
        <w:jc w:val="both"/>
        <w:sectPr>
          <w:pgSz w:w="11900" w:h="16840"/>
          <w:pgMar w:header="0" w:footer="181" w:top="500" w:bottom="380" w:left="566" w:right="566"/>
        </w:sectPr>
      </w:pPr>
    </w:p>
    <w:p>
      <w:pPr>
        <w:pStyle w:val="BodyText"/>
        <w:spacing w:before="60"/>
        <w:ind w:right="245"/>
        <w:jc w:val="both"/>
      </w:pPr>
      <w:r>
        <w:rPr>
          <w:b/>
          <w:u w:val="single"/>
        </w:rPr>
        <w:t>OUTROS ASSUNTOS – Empresa de grande porte -</w:t>
      </w:r>
      <w:r>
        <w:rPr>
          <w:b/>
        </w:rPr>
        <w:t> </w:t>
      </w:r>
      <w:r>
        <w:rPr/>
        <w:t>O CONSAD, através do Comunicado nº 4/2026/CONSAD-CDC, informou que a Diretoria Executiva está tomando as providências necessárias, para encaminhamento ao CONSAD da alteração do seu Estatuto, em sua próxima reunião.</w:t>
      </w:r>
    </w:p>
    <w:p>
      <w:pPr>
        <w:pStyle w:val="BodyText"/>
        <w:spacing w:before="114"/>
        <w:ind w:right="244"/>
        <w:jc w:val="both"/>
      </w:pPr>
      <w:r>
        <w:rPr/>
        <w:t>O Conselho retira a pendência ressaltando sua preocupação quanto ao urgente atendimento dessa </w:t>
      </w:r>
      <w:r>
        <w:rPr>
          <w:spacing w:val="-2"/>
        </w:rPr>
        <w:t>obrigação.</w:t>
      </w:r>
    </w:p>
    <w:p>
      <w:pPr>
        <w:pStyle w:val="BodyText"/>
        <w:spacing w:before="233"/>
        <w:ind w:left="0"/>
      </w:pPr>
    </w:p>
    <w:p>
      <w:pPr>
        <w:pStyle w:val="Heading2"/>
        <w:numPr>
          <w:ilvl w:val="1"/>
          <w:numId w:val="1"/>
        </w:numPr>
        <w:tabs>
          <w:tab w:pos="718" w:val="left" w:leader="none"/>
        </w:tabs>
        <w:spacing w:line="240" w:lineRule="auto" w:before="1" w:after="0"/>
        <w:ind w:left="718" w:right="0" w:hanging="476"/>
        <w:jc w:val="left"/>
      </w:pPr>
      <w:r>
        <w:rPr/>
        <w:t>-</w:t>
      </w:r>
      <w:r>
        <w:rPr>
          <w:spacing w:val="-8"/>
        </w:rPr>
        <w:t> </w:t>
      </w:r>
      <w:r>
        <w:rPr/>
        <w:t>Relatório</w:t>
      </w:r>
      <w:r>
        <w:rPr>
          <w:spacing w:val="-8"/>
        </w:rPr>
        <w:t> </w:t>
      </w:r>
      <w:r>
        <w:rPr/>
        <w:t>de</w:t>
      </w:r>
      <w:r>
        <w:rPr>
          <w:spacing w:val="-7"/>
        </w:rPr>
        <w:t> </w:t>
      </w:r>
      <w:r>
        <w:rPr>
          <w:spacing w:val="-2"/>
        </w:rPr>
        <w:t>Contratos</w:t>
      </w:r>
    </w:p>
    <w:p>
      <w:pPr>
        <w:pStyle w:val="BodyText"/>
        <w:spacing w:before="117"/>
        <w:ind w:firstLine="1406"/>
      </w:pPr>
      <w:r>
        <w:rPr/>
        <w:t>O Conselho recebeu o relatório de contratos, atualizado até o dia 14/05/2026, contendo as informações solicitadas.</w:t>
      </w:r>
    </w:p>
    <w:p>
      <w:pPr>
        <w:pStyle w:val="BodyText"/>
        <w:spacing w:before="233"/>
        <w:ind w:left="0"/>
      </w:pPr>
    </w:p>
    <w:p>
      <w:pPr>
        <w:pStyle w:val="Heading1"/>
        <w:numPr>
          <w:ilvl w:val="0"/>
          <w:numId w:val="1"/>
        </w:numPr>
        <w:tabs>
          <w:tab w:pos="479" w:val="left" w:leader="none"/>
        </w:tabs>
        <w:spacing w:line="240" w:lineRule="auto" w:before="0" w:after="0"/>
        <w:ind w:left="479" w:right="0" w:hanging="237"/>
        <w:jc w:val="left"/>
      </w:pPr>
      <w:r>
        <w:rPr>
          <w:spacing w:val="-2"/>
        </w:rPr>
        <w:t>ASSUNTOS</w:t>
      </w:r>
      <w:r>
        <w:rPr>
          <w:spacing w:val="-5"/>
        </w:rPr>
        <w:t> </w:t>
      </w:r>
      <w:r>
        <w:rPr>
          <w:spacing w:val="-2"/>
        </w:rPr>
        <w:t>DIVERSOS</w:t>
      </w:r>
    </w:p>
    <w:p>
      <w:pPr>
        <w:pStyle w:val="Heading2"/>
        <w:numPr>
          <w:ilvl w:val="1"/>
          <w:numId w:val="1"/>
        </w:numPr>
        <w:tabs>
          <w:tab w:pos="612" w:val="left" w:leader="none"/>
        </w:tabs>
        <w:spacing w:line="240" w:lineRule="auto" w:before="118" w:after="0"/>
        <w:ind w:left="242" w:right="275" w:firstLine="0"/>
        <w:jc w:val="left"/>
      </w:pPr>
      <w:r>
        <w:rPr/>
        <w:t>–</w:t>
      </w:r>
      <w:r>
        <w:rPr>
          <w:spacing w:val="-6"/>
        </w:rPr>
        <w:t> </w:t>
      </w:r>
      <w:r>
        <w:rPr/>
        <w:t>Ata da 60ª</w:t>
      </w:r>
      <w:r>
        <w:rPr>
          <w:spacing w:val="-6"/>
        </w:rPr>
        <w:t> </w:t>
      </w:r>
      <w:r>
        <w:rPr/>
        <w:t>Assembleia Geral Ordinária e 144ª Extraordinária da Companhia Docas do Ceará, realizada em 22/04/2026</w:t>
      </w:r>
    </w:p>
    <w:p>
      <w:pPr>
        <w:pStyle w:val="BodyText"/>
        <w:spacing w:before="116"/>
        <w:ind w:firstLine="1406"/>
      </w:pPr>
      <w:r>
        <w:rPr/>
        <w:t>O</w:t>
      </w:r>
      <w:r>
        <w:rPr>
          <w:spacing w:val="40"/>
        </w:rPr>
        <w:t> </w:t>
      </w:r>
      <w:r>
        <w:rPr/>
        <w:t>Conselho</w:t>
      </w:r>
      <w:r>
        <w:rPr>
          <w:spacing w:val="40"/>
        </w:rPr>
        <w:t> </w:t>
      </w:r>
      <w:r>
        <w:rPr/>
        <w:t>recebeua</w:t>
      </w:r>
      <w:r>
        <w:rPr>
          <w:spacing w:val="40"/>
        </w:rPr>
        <w:t> </w:t>
      </w:r>
      <w:r>
        <w:rPr/>
        <w:t>ata</w:t>
      </w:r>
      <w:r>
        <w:rPr>
          <w:spacing w:val="40"/>
        </w:rPr>
        <w:t> </w:t>
      </w:r>
      <w:r>
        <w:rPr/>
        <w:t>da</w:t>
      </w:r>
      <w:r>
        <w:rPr>
          <w:spacing w:val="40"/>
        </w:rPr>
        <w:t> </w:t>
      </w:r>
      <w:r>
        <w:rPr/>
        <w:t>60</w:t>
      </w:r>
      <w:r>
        <w:rPr>
          <w:spacing w:val="40"/>
        </w:rPr>
        <w:t> </w:t>
      </w:r>
      <w:r>
        <w:rPr/>
        <w:t>ª</w:t>
      </w:r>
      <w:r>
        <w:rPr>
          <w:spacing w:val="34"/>
        </w:rPr>
        <w:t> </w:t>
      </w:r>
      <w:r>
        <w:rPr/>
        <w:t>Assembleia</w:t>
      </w:r>
      <w:r>
        <w:rPr>
          <w:spacing w:val="40"/>
        </w:rPr>
        <w:t> </w:t>
      </w:r>
      <w:r>
        <w:rPr/>
        <w:t>Geral</w:t>
      </w:r>
      <w:r>
        <w:rPr>
          <w:spacing w:val="40"/>
        </w:rPr>
        <w:t> </w:t>
      </w:r>
      <w:r>
        <w:rPr/>
        <w:t>Ordinária</w:t>
      </w:r>
      <w:r>
        <w:rPr>
          <w:spacing w:val="40"/>
        </w:rPr>
        <w:t> </w:t>
      </w:r>
      <w:r>
        <w:rPr/>
        <w:t>e</w:t>
      </w:r>
      <w:r>
        <w:rPr>
          <w:spacing w:val="40"/>
        </w:rPr>
        <w:t> </w:t>
      </w:r>
      <w:r>
        <w:rPr/>
        <w:t>144ª</w:t>
      </w:r>
      <w:r>
        <w:rPr>
          <w:spacing w:val="40"/>
        </w:rPr>
        <w:t> </w:t>
      </w:r>
      <w:r>
        <w:rPr/>
        <w:t>Extraordinária</w:t>
      </w:r>
      <w:r>
        <w:rPr>
          <w:spacing w:val="40"/>
        </w:rPr>
        <w:t> </w:t>
      </w:r>
      <w:r>
        <w:rPr/>
        <w:t>da Companhia Docas do Ceará, realizada em 22/04/2026, a ser aprovada na JUCEC.</w:t>
      </w:r>
    </w:p>
    <w:p>
      <w:pPr>
        <w:pStyle w:val="BodyText"/>
        <w:spacing w:before="115"/>
        <w:ind w:firstLine="1406"/>
      </w:pPr>
      <w:r>
        <w:rPr/>
        <w:t>O Conselho solicita que a CODFIN observe e cumpra as recomendações formuladas pela</w:t>
      </w:r>
      <w:r>
        <w:rPr>
          <w:spacing w:val="80"/>
        </w:rPr>
        <w:t> </w:t>
      </w:r>
      <w:r>
        <w:rPr/>
        <w:t>Secretaria do Tesouro Nacional – STN nas próximas divulgações periódicas.</w:t>
      </w:r>
    </w:p>
    <w:p>
      <w:pPr>
        <w:pStyle w:val="BodyText"/>
        <w:spacing w:before="233"/>
        <w:ind w:left="0"/>
      </w:pPr>
    </w:p>
    <w:p>
      <w:pPr>
        <w:pStyle w:val="Heading1"/>
        <w:numPr>
          <w:ilvl w:val="0"/>
          <w:numId w:val="1"/>
        </w:numPr>
        <w:tabs>
          <w:tab w:pos="479" w:val="left" w:leader="none"/>
        </w:tabs>
        <w:spacing w:line="240" w:lineRule="auto" w:before="1" w:after="0"/>
        <w:ind w:left="479" w:right="0" w:hanging="237"/>
        <w:jc w:val="left"/>
      </w:pPr>
      <w:r>
        <w:rPr>
          <w:spacing w:val="-2"/>
        </w:rPr>
        <w:t>FUNCIONAMENTO</w:t>
      </w:r>
      <w:r>
        <w:rPr>
          <w:spacing w:val="-5"/>
        </w:rPr>
        <w:t> </w:t>
      </w:r>
      <w:r>
        <w:rPr>
          <w:spacing w:val="-2"/>
        </w:rPr>
        <w:t>DE</w:t>
      </w:r>
      <w:r>
        <w:rPr>
          <w:spacing w:val="-4"/>
        </w:rPr>
        <w:t> </w:t>
      </w:r>
      <w:r>
        <w:rPr>
          <w:spacing w:val="-2"/>
        </w:rPr>
        <w:t>REUNIÕES</w:t>
      </w:r>
      <w:r>
        <w:rPr>
          <w:spacing w:val="-4"/>
        </w:rPr>
        <w:t> </w:t>
      </w:r>
      <w:r>
        <w:rPr>
          <w:spacing w:val="-2"/>
        </w:rPr>
        <w:t>DO</w:t>
      </w:r>
      <w:r>
        <w:rPr>
          <w:spacing w:val="-4"/>
        </w:rPr>
        <w:t> </w:t>
      </w:r>
      <w:r>
        <w:rPr>
          <w:spacing w:val="-2"/>
        </w:rPr>
        <w:t>COLEGIADO</w:t>
      </w:r>
    </w:p>
    <w:p>
      <w:pPr>
        <w:pStyle w:val="BodyText"/>
        <w:spacing w:before="117"/>
        <w:ind w:right="243" w:firstLine="1406"/>
        <w:jc w:val="both"/>
      </w:pPr>
      <w:r>
        <w:rPr/>
        <w:t>O Conselho solicitou que sejam evitados grandes barulhos provenientes de obras durante a realização das reuniões mensais do Conselho Fiscal, a fim de não prejudicar o adequado andamento dos </w:t>
      </w:r>
      <w:r>
        <w:rPr>
          <w:spacing w:val="-2"/>
        </w:rPr>
        <w:t>trabalhos.</w:t>
      </w:r>
    </w:p>
    <w:p>
      <w:pPr>
        <w:pStyle w:val="BodyText"/>
        <w:spacing w:before="114"/>
        <w:ind w:firstLine="1406"/>
      </w:pPr>
      <w:r>
        <w:rPr/>
        <w:t>O</w:t>
      </w:r>
      <w:r>
        <w:rPr>
          <w:spacing w:val="-3"/>
        </w:rPr>
        <w:t> </w:t>
      </w:r>
      <w:r>
        <w:rPr/>
        <w:t>Conselho</w:t>
      </w:r>
      <w:r>
        <w:rPr>
          <w:spacing w:val="-3"/>
        </w:rPr>
        <w:t> </w:t>
      </w:r>
      <w:r>
        <w:rPr/>
        <w:t>solicita,</w:t>
      </w:r>
      <w:r>
        <w:rPr>
          <w:spacing w:val="-3"/>
        </w:rPr>
        <w:t> </w:t>
      </w:r>
      <w:r>
        <w:rPr/>
        <w:t>ainda,</w:t>
      </w:r>
      <w:r>
        <w:rPr>
          <w:spacing w:val="-3"/>
        </w:rPr>
        <w:t> </w:t>
      </w:r>
      <w:r>
        <w:rPr/>
        <w:t>que</w:t>
      </w:r>
      <w:r>
        <w:rPr>
          <w:spacing w:val="-3"/>
        </w:rPr>
        <w:t> </w:t>
      </w:r>
      <w:r>
        <w:rPr/>
        <w:t>seja</w:t>
      </w:r>
      <w:r>
        <w:rPr>
          <w:spacing w:val="-3"/>
        </w:rPr>
        <w:t> </w:t>
      </w:r>
      <w:r>
        <w:rPr/>
        <w:t>desenvolvido</w:t>
      </w:r>
      <w:r>
        <w:rPr>
          <w:spacing w:val="-3"/>
        </w:rPr>
        <w:t> </w:t>
      </w:r>
      <w:r>
        <w:rPr/>
        <w:t>sistema/portal</w:t>
      </w:r>
      <w:r>
        <w:rPr>
          <w:spacing w:val="-3"/>
        </w:rPr>
        <w:t> </w:t>
      </w:r>
      <w:r>
        <w:rPr/>
        <w:t>destinado</w:t>
      </w:r>
      <w:r>
        <w:rPr>
          <w:spacing w:val="-3"/>
        </w:rPr>
        <w:t> </w:t>
      </w:r>
      <w:r>
        <w:rPr/>
        <w:t>aos</w:t>
      </w:r>
      <w:r>
        <w:rPr>
          <w:spacing w:val="-3"/>
        </w:rPr>
        <w:t> </w:t>
      </w:r>
      <w:r>
        <w:rPr/>
        <w:t>conselheiros, com vistas a aprimorar o acesso às informações e a organização dos trabalhos do Colegiado.</w:t>
      </w:r>
    </w:p>
    <w:p>
      <w:pPr>
        <w:pStyle w:val="BodyText"/>
        <w:spacing w:before="116"/>
        <w:ind w:left="1649"/>
      </w:pPr>
      <w:r>
        <w:rPr/>
        <w:t>Por</w:t>
      </w:r>
      <w:r>
        <w:rPr>
          <w:spacing w:val="41"/>
        </w:rPr>
        <w:t> </w:t>
      </w:r>
      <w:r>
        <w:rPr/>
        <w:t>fim,</w:t>
      </w:r>
      <w:r>
        <w:rPr>
          <w:spacing w:val="42"/>
        </w:rPr>
        <w:t> </w:t>
      </w:r>
      <w:r>
        <w:rPr/>
        <w:t>informa</w:t>
      </w:r>
      <w:r>
        <w:rPr>
          <w:spacing w:val="41"/>
        </w:rPr>
        <w:t> </w:t>
      </w:r>
      <w:r>
        <w:rPr/>
        <w:t>a</w:t>
      </w:r>
      <w:r>
        <w:rPr>
          <w:spacing w:val="42"/>
        </w:rPr>
        <w:t> </w:t>
      </w:r>
      <w:r>
        <w:rPr/>
        <w:t>necessidade</w:t>
      </w:r>
      <w:r>
        <w:rPr>
          <w:spacing w:val="42"/>
        </w:rPr>
        <w:t> </w:t>
      </w:r>
      <w:r>
        <w:rPr/>
        <w:t>de</w:t>
      </w:r>
      <w:r>
        <w:rPr>
          <w:spacing w:val="41"/>
        </w:rPr>
        <w:t> </w:t>
      </w:r>
      <w:r>
        <w:rPr/>
        <w:t>disponibilização</w:t>
      </w:r>
      <w:r>
        <w:rPr>
          <w:spacing w:val="42"/>
        </w:rPr>
        <w:t> </w:t>
      </w:r>
      <w:r>
        <w:rPr/>
        <w:t>de</w:t>
      </w:r>
      <w:r>
        <w:rPr>
          <w:spacing w:val="42"/>
        </w:rPr>
        <w:t> </w:t>
      </w:r>
      <w:r>
        <w:rPr/>
        <w:t>notebook</w:t>
      </w:r>
      <w:r>
        <w:rPr>
          <w:spacing w:val="41"/>
        </w:rPr>
        <w:t> </w:t>
      </w:r>
      <w:r>
        <w:rPr/>
        <w:t>para</w:t>
      </w:r>
      <w:r>
        <w:rPr>
          <w:spacing w:val="42"/>
        </w:rPr>
        <w:t> </w:t>
      </w:r>
      <w:r>
        <w:rPr/>
        <w:t>o</w:t>
      </w:r>
      <w:r>
        <w:rPr>
          <w:spacing w:val="41"/>
        </w:rPr>
        <w:t> </w:t>
      </w:r>
      <w:r>
        <w:rPr/>
        <w:t>secretariado</w:t>
      </w:r>
      <w:r>
        <w:rPr>
          <w:spacing w:val="42"/>
        </w:rPr>
        <w:t> </w:t>
      </w:r>
      <w:r>
        <w:rPr>
          <w:spacing w:val="-7"/>
        </w:rPr>
        <w:t>do</w:t>
      </w:r>
    </w:p>
    <w:p>
      <w:pPr>
        <w:pStyle w:val="BodyText"/>
        <w:spacing w:line="274" w:lineRule="exact"/>
      </w:pPr>
      <w:r>
        <w:rPr>
          <w:spacing w:val="-2"/>
        </w:rPr>
        <w:t>Colegiado.</w:t>
      </w:r>
    </w:p>
    <w:p>
      <w:pPr>
        <w:pStyle w:val="BodyText"/>
        <w:spacing w:before="235"/>
        <w:ind w:left="0"/>
      </w:pPr>
    </w:p>
    <w:p>
      <w:pPr>
        <w:pStyle w:val="Heading1"/>
        <w:numPr>
          <w:ilvl w:val="0"/>
          <w:numId w:val="1"/>
        </w:numPr>
        <w:tabs>
          <w:tab w:pos="479" w:val="left" w:leader="none"/>
        </w:tabs>
        <w:spacing w:line="240" w:lineRule="auto" w:before="0" w:after="0"/>
        <w:ind w:left="479" w:right="0" w:hanging="237"/>
        <w:jc w:val="left"/>
      </w:pPr>
      <w:r>
        <w:rPr>
          <w:spacing w:val="-2"/>
        </w:rPr>
        <w:t>ENCERRAMENTO</w:t>
      </w:r>
      <w:r>
        <w:rPr>
          <w:spacing w:val="-6"/>
        </w:rPr>
        <w:t> </w:t>
      </w:r>
      <w:r>
        <w:rPr>
          <w:spacing w:val="-2"/>
        </w:rPr>
        <w:t>DOS</w:t>
      </w:r>
      <w:r>
        <w:rPr>
          <w:spacing w:val="-5"/>
        </w:rPr>
        <w:t> </w:t>
      </w:r>
      <w:r>
        <w:rPr>
          <w:spacing w:val="-2"/>
        </w:rPr>
        <w:t>TRABALHOS</w:t>
      </w:r>
    </w:p>
    <w:p>
      <w:pPr>
        <w:pStyle w:val="BodyText"/>
        <w:spacing w:before="117"/>
        <w:ind w:right="247" w:firstLine="1406"/>
        <w:jc w:val="both"/>
      </w:pPr>
      <w:r>
        <w:rPr/>
        <w:t>Constatada</w:t>
      </w:r>
      <w:r>
        <w:rPr>
          <w:spacing w:val="-5"/>
        </w:rPr>
        <w:t> </w:t>
      </w:r>
      <w:r>
        <w:rPr/>
        <w:t>a</w:t>
      </w:r>
      <w:r>
        <w:rPr>
          <w:spacing w:val="-5"/>
        </w:rPr>
        <w:t> </w:t>
      </w:r>
      <w:r>
        <w:rPr/>
        <w:t>inexistência</w:t>
      </w:r>
      <w:r>
        <w:rPr>
          <w:spacing w:val="-5"/>
        </w:rPr>
        <w:t> </w:t>
      </w:r>
      <w:r>
        <w:rPr/>
        <w:t>de</w:t>
      </w:r>
      <w:r>
        <w:rPr>
          <w:spacing w:val="-5"/>
        </w:rPr>
        <w:t> </w:t>
      </w:r>
      <w:r>
        <w:rPr/>
        <w:t>qualquer</w:t>
      </w:r>
      <w:r>
        <w:rPr>
          <w:spacing w:val="-5"/>
        </w:rPr>
        <w:t> </w:t>
      </w:r>
      <w:r>
        <w:rPr/>
        <w:t>outro</w:t>
      </w:r>
      <w:r>
        <w:rPr>
          <w:spacing w:val="-5"/>
        </w:rPr>
        <w:t> </w:t>
      </w:r>
      <w:r>
        <w:rPr/>
        <w:t>assunto</w:t>
      </w:r>
      <w:r>
        <w:rPr>
          <w:spacing w:val="-5"/>
        </w:rPr>
        <w:t> </w:t>
      </w:r>
      <w:r>
        <w:rPr/>
        <w:t>a</w:t>
      </w:r>
      <w:r>
        <w:rPr>
          <w:spacing w:val="-5"/>
        </w:rPr>
        <w:t> </w:t>
      </w:r>
      <w:r>
        <w:rPr/>
        <w:t>tratar,</w:t>
      </w:r>
      <w:r>
        <w:rPr>
          <w:spacing w:val="-5"/>
        </w:rPr>
        <w:t> </w:t>
      </w:r>
      <w:r>
        <w:rPr/>
        <w:t>a</w:t>
      </w:r>
      <w:r>
        <w:rPr>
          <w:spacing w:val="-5"/>
        </w:rPr>
        <w:t> </w:t>
      </w:r>
      <w:r>
        <w:rPr/>
        <w:t>Presidente</w:t>
      </w:r>
      <w:r>
        <w:rPr>
          <w:spacing w:val="-5"/>
        </w:rPr>
        <w:t> </w:t>
      </w:r>
      <w:r>
        <w:rPr/>
        <w:t>agendou</w:t>
      </w:r>
      <w:r>
        <w:rPr>
          <w:spacing w:val="-5"/>
        </w:rPr>
        <w:t> </w:t>
      </w:r>
      <w:r>
        <w:rPr/>
        <w:t>a</w:t>
      </w:r>
      <w:r>
        <w:rPr>
          <w:spacing w:val="-5"/>
        </w:rPr>
        <w:t> </w:t>
      </w:r>
      <w:r>
        <w:rPr/>
        <w:t>próxima reunião</w:t>
      </w:r>
      <w:r>
        <w:rPr>
          <w:spacing w:val="-2"/>
        </w:rPr>
        <w:t> </w:t>
      </w:r>
      <w:r>
        <w:rPr/>
        <w:t>para</w:t>
      </w:r>
      <w:r>
        <w:rPr>
          <w:spacing w:val="-2"/>
        </w:rPr>
        <w:t> </w:t>
      </w:r>
      <w:r>
        <w:rPr/>
        <w:t>o</w:t>
      </w:r>
      <w:r>
        <w:rPr>
          <w:spacing w:val="-2"/>
        </w:rPr>
        <w:t> </w:t>
      </w:r>
      <w:r>
        <w:rPr/>
        <w:t>dia </w:t>
      </w:r>
      <w:r>
        <w:rPr>
          <w:b/>
        </w:rPr>
        <w:t>12/06/2026</w:t>
      </w:r>
      <w:r>
        <w:rPr>
          <w:b/>
          <w:spacing w:val="-7"/>
        </w:rPr>
        <w:t> </w:t>
      </w:r>
      <w:r>
        <w:rPr/>
        <w:t>e deu os trabalhos por encerrados, sobre os quais, eu, Mayara Brenda Sousa do Nascimento Silva, Secretária, lavrei a presente Ata, que após lida e aprovada, vai assinada pelos Conselheiros e por mim.</w:t>
      </w:r>
    </w:p>
    <w:p>
      <w:pPr>
        <w:pStyle w:val="BodyText"/>
        <w:ind w:left="0"/>
      </w:pPr>
    </w:p>
    <w:p>
      <w:pPr>
        <w:pStyle w:val="BodyText"/>
        <w:spacing w:before="228"/>
        <w:ind w:left="0"/>
      </w:pPr>
    </w:p>
    <w:p>
      <w:pPr>
        <w:pStyle w:val="BodyText"/>
        <w:ind w:left="10" w:right="12"/>
        <w:jc w:val="center"/>
      </w:pPr>
      <w:r>
        <w:rPr/>
        <w:t>Fortaleza,</w:t>
      </w:r>
      <w:r>
        <w:rPr>
          <w:spacing w:val="-8"/>
        </w:rPr>
        <w:t> </w:t>
      </w:r>
      <w:r>
        <w:rPr/>
        <w:t>22</w:t>
      </w:r>
      <w:r>
        <w:rPr>
          <w:spacing w:val="-7"/>
        </w:rPr>
        <w:t> </w:t>
      </w:r>
      <w:r>
        <w:rPr/>
        <w:t>de</w:t>
      </w:r>
      <w:r>
        <w:rPr>
          <w:spacing w:val="-8"/>
        </w:rPr>
        <w:t> </w:t>
      </w:r>
      <w:r>
        <w:rPr/>
        <w:t>maio</w:t>
      </w:r>
      <w:r>
        <w:rPr>
          <w:spacing w:val="-7"/>
        </w:rPr>
        <w:t> </w:t>
      </w:r>
      <w:r>
        <w:rPr/>
        <w:t>de</w:t>
      </w:r>
      <w:r>
        <w:rPr>
          <w:spacing w:val="-8"/>
        </w:rPr>
        <w:t> </w:t>
      </w:r>
      <w:r>
        <w:rPr>
          <w:spacing w:val="-4"/>
        </w:rPr>
        <w:t>2026</w:t>
      </w:r>
    </w:p>
    <w:p>
      <w:pPr>
        <w:pStyle w:val="BodyText"/>
        <w:ind w:left="0"/>
      </w:pPr>
    </w:p>
    <w:p>
      <w:pPr>
        <w:pStyle w:val="BodyText"/>
        <w:ind w:left="0"/>
      </w:pPr>
    </w:p>
    <w:p>
      <w:pPr>
        <w:pStyle w:val="BodyText"/>
        <w:spacing w:before="77"/>
        <w:ind w:left="0"/>
      </w:pPr>
    </w:p>
    <w:p>
      <w:pPr>
        <w:pStyle w:val="BodyText"/>
        <w:ind w:left="12" w:right="12"/>
        <w:jc w:val="center"/>
      </w:pPr>
      <w:r>
        <w:rPr/>
        <w:t>IVO</w:t>
      </w:r>
      <w:r>
        <w:rPr>
          <w:spacing w:val="-14"/>
        </w:rPr>
        <w:t> </w:t>
      </w:r>
      <w:r>
        <w:rPr/>
        <w:t>CORDEIRO</w:t>
      </w:r>
      <w:r>
        <w:rPr>
          <w:spacing w:val="-13"/>
        </w:rPr>
        <w:t> </w:t>
      </w:r>
      <w:r>
        <w:rPr/>
        <w:t>PINHO</w:t>
      </w:r>
      <w:r>
        <w:rPr>
          <w:spacing w:val="-13"/>
        </w:rPr>
        <w:t> </w:t>
      </w:r>
      <w:r>
        <w:rPr>
          <w:spacing w:val="-2"/>
        </w:rPr>
        <w:t>TIMBÓ</w:t>
      </w:r>
    </w:p>
    <w:p>
      <w:pPr>
        <w:pStyle w:val="BodyText"/>
        <w:spacing w:before="117"/>
        <w:ind w:left="11" w:right="12"/>
        <w:jc w:val="center"/>
      </w:pPr>
      <w:r>
        <w:rPr>
          <w:spacing w:val="-2"/>
        </w:rPr>
        <w:t>Presidente</w:t>
      </w:r>
    </w:p>
    <w:p>
      <w:pPr>
        <w:pStyle w:val="BodyText"/>
        <w:spacing w:before="235"/>
        <w:ind w:left="0"/>
      </w:pPr>
    </w:p>
    <w:p>
      <w:pPr>
        <w:pStyle w:val="BodyText"/>
        <w:ind w:left="3" w:right="12"/>
        <w:jc w:val="center"/>
      </w:pPr>
      <w:r>
        <w:rPr>
          <w:spacing w:val="-2"/>
        </w:rPr>
        <w:t>GEORGE</w:t>
      </w:r>
      <w:r>
        <w:rPr>
          <w:spacing w:val="-4"/>
        </w:rPr>
        <w:t> </w:t>
      </w:r>
      <w:r>
        <w:rPr>
          <w:spacing w:val="-2"/>
        </w:rPr>
        <w:t>CHRISTIAN</w:t>
      </w:r>
      <w:r>
        <w:rPr>
          <w:spacing w:val="-4"/>
        </w:rPr>
        <w:t> </w:t>
      </w:r>
      <w:r>
        <w:rPr>
          <w:spacing w:val="-2"/>
        </w:rPr>
        <w:t>LINHARES</w:t>
      </w:r>
      <w:r>
        <w:rPr>
          <w:spacing w:val="-4"/>
        </w:rPr>
        <w:t> </w:t>
      </w:r>
      <w:r>
        <w:rPr>
          <w:spacing w:val="-2"/>
        </w:rPr>
        <w:t>BEZERRA</w:t>
      </w:r>
    </w:p>
    <w:p>
      <w:pPr>
        <w:pStyle w:val="BodyText"/>
        <w:spacing w:before="118"/>
        <w:ind w:left="5" w:right="12"/>
        <w:jc w:val="center"/>
      </w:pPr>
      <w:r>
        <w:rPr>
          <w:spacing w:val="-2"/>
        </w:rPr>
        <w:t>Conselheiro</w:t>
      </w:r>
    </w:p>
    <w:p>
      <w:pPr>
        <w:pStyle w:val="BodyText"/>
        <w:spacing w:before="235"/>
        <w:ind w:left="0"/>
      </w:pPr>
    </w:p>
    <w:p>
      <w:pPr>
        <w:pStyle w:val="BodyText"/>
        <w:ind w:left="2" w:right="12"/>
        <w:jc w:val="center"/>
      </w:pPr>
      <w:r>
        <w:rPr/>
        <w:t>BRUNO</w:t>
      </w:r>
      <w:r>
        <w:rPr>
          <w:spacing w:val="-14"/>
        </w:rPr>
        <w:t> </w:t>
      </w:r>
      <w:r>
        <w:rPr/>
        <w:t>FERNANDES</w:t>
      </w:r>
      <w:r>
        <w:rPr>
          <w:spacing w:val="-14"/>
        </w:rPr>
        <w:t> </w:t>
      </w:r>
      <w:r>
        <w:rPr/>
        <w:t>DA</w:t>
      </w:r>
      <w:r>
        <w:rPr>
          <w:spacing w:val="-14"/>
        </w:rPr>
        <w:t> </w:t>
      </w:r>
      <w:r>
        <w:rPr/>
        <w:t>ROCHA</w:t>
      </w:r>
      <w:r>
        <w:rPr>
          <w:spacing w:val="-14"/>
        </w:rPr>
        <w:t> </w:t>
      </w:r>
      <w:r>
        <w:rPr>
          <w:spacing w:val="-2"/>
        </w:rPr>
        <w:t>BORBA</w:t>
      </w:r>
    </w:p>
    <w:p>
      <w:pPr>
        <w:pStyle w:val="BodyText"/>
        <w:spacing w:after="0"/>
        <w:jc w:val="center"/>
        <w:sectPr>
          <w:pgSz w:w="11900" w:h="16840"/>
          <w:pgMar w:header="0" w:footer="181" w:top="500" w:bottom="380" w:left="566" w:right="566"/>
        </w:sectPr>
      </w:pPr>
    </w:p>
    <w:p>
      <w:pPr>
        <w:pStyle w:val="BodyText"/>
        <w:spacing w:before="60"/>
        <w:ind w:left="5" w:right="12"/>
        <w:jc w:val="center"/>
      </w:pPr>
      <w:r>
        <w:rPr>
          <w:spacing w:val="-2"/>
        </w:rPr>
        <w:t>Conselheiro</w:t>
      </w:r>
    </w:p>
    <w:p>
      <w:pPr>
        <w:pStyle w:val="BodyText"/>
        <w:spacing w:before="235"/>
        <w:ind w:left="0"/>
      </w:pPr>
    </w:p>
    <w:p>
      <w:pPr>
        <w:pStyle w:val="BodyText"/>
        <w:ind w:left="0" w:right="12"/>
        <w:jc w:val="center"/>
      </w:pPr>
      <w:r>
        <w:rPr>
          <w:spacing w:val="-2"/>
        </w:rPr>
        <w:t>MAYARA</w:t>
      </w:r>
      <w:r>
        <w:rPr>
          <w:spacing w:val="-4"/>
        </w:rPr>
        <w:t> </w:t>
      </w:r>
      <w:r>
        <w:rPr>
          <w:spacing w:val="-2"/>
        </w:rPr>
        <w:t>BRENDA</w:t>
      </w:r>
      <w:r>
        <w:rPr>
          <w:spacing w:val="-4"/>
        </w:rPr>
        <w:t> </w:t>
      </w:r>
      <w:r>
        <w:rPr>
          <w:spacing w:val="-2"/>
        </w:rPr>
        <w:t>SOUSA</w:t>
      </w:r>
      <w:r>
        <w:rPr>
          <w:spacing w:val="-4"/>
        </w:rPr>
        <w:t> </w:t>
      </w:r>
      <w:r>
        <w:rPr>
          <w:spacing w:val="-2"/>
        </w:rPr>
        <w:t>DO</w:t>
      </w:r>
      <w:r>
        <w:rPr>
          <w:spacing w:val="-3"/>
        </w:rPr>
        <w:t> </w:t>
      </w:r>
      <w:r>
        <w:rPr>
          <w:spacing w:val="-2"/>
        </w:rPr>
        <w:t>NASCIMENTO</w:t>
      </w:r>
      <w:r>
        <w:rPr>
          <w:spacing w:val="-4"/>
        </w:rPr>
        <w:t> </w:t>
      </w:r>
      <w:r>
        <w:rPr>
          <w:spacing w:val="-2"/>
        </w:rPr>
        <w:t>SILVA</w:t>
      </w:r>
    </w:p>
    <w:p>
      <w:pPr>
        <w:pStyle w:val="BodyText"/>
        <w:spacing w:before="118"/>
        <w:ind w:left="8" w:right="12"/>
        <w:jc w:val="center"/>
      </w:pPr>
      <w:r>
        <w:rPr/>
        <w:drawing>
          <wp:anchor distT="0" distB="0" distL="0" distR="0" allowOverlap="1" layoutInCell="1" locked="0" behindDoc="0" simplePos="0" relativeHeight="15732224">
            <wp:simplePos x="0" y="0"/>
            <wp:positionH relativeFrom="page">
              <wp:posOffset>460378</wp:posOffset>
            </wp:positionH>
            <wp:positionV relativeFrom="paragraph">
              <wp:posOffset>406531</wp:posOffset>
            </wp:positionV>
            <wp:extent cx="840428" cy="567856"/>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7" cstate="print"/>
                    <a:stretch>
                      <a:fillRect/>
                    </a:stretch>
                  </pic:blipFill>
                  <pic:spPr>
                    <a:xfrm>
                      <a:off x="0" y="0"/>
                      <a:ext cx="840428" cy="567856"/>
                    </a:xfrm>
                    <a:prstGeom prst="rect">
                      <a:avLst/>
                    </a:prstGeom>
                  </pic:spPr>
                </pic:pic>
              </a:graphicData>
            </a:graphic>
          </wp:anchor>
        </w:drawing>
      </w:r>
      <w:r>
        <w:rPr/>
        <w:drawing>
          <wp:anchor distT="0" distB="0" distL="0" distR="0" allowOverlap="1" layoutInCell="1" locked="0" behindDoc="0" simplePos="0" relativeHeight="15732736">
            <wp:simplePos x="0" y="0"/>
            <wp:positionH relativeFrom="page">
              <wp:posOffset>460378</wp:posOffset>
            </wp:positionH>
            <wp:positionV relativeFrom="paragraph">
              <wp:posOffset>1110674</wp:posOffset>
            </wp:positionV>
            <wp:extent cx="840428" cy="567856"/>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7" cstate="print"/>
                    <a:stretch>
                      <a:fillRect/>
                    </a:stretch>
                  </pic:blipFill>
                  <pic:spPr>
                    <a:xfrm>
                      <a:off x="0" y="0"/>
                      <a:ext cx="840428" cy="567856"/>
                    </a:xfrm>
                    <a:prstGeom prst="rect">
                      <a:avLst/>
                    </a:prstGeom>
                  </pic:spPr>
                </pic:pic>
              </a:graphicData>
            </a:graphic>
          </wp:anchor>
        </w:drawing>
      </w:r>
      <w:r>
        <w:rPr/>
        <w:drawing>
          <wp:anchor distT="0" distB="0" distL="0" distR="0" allowOverlap="1" layoutInCell="1" locked="0" behindDoc="0" simplePos="0" relativeHeight="15733248">
            <wp:simplePos x="0" y="0"/>
            <wp:positionH relativeFrom="page">
              <wp:posOffset>460378</wp:posOffset>
            </wp:positionH>
            <wp:positionV relativeFrom="paragraph">
              <wp:posOffset>1814816</wp:posOffset>
            </wp:positionV>
            <wp:extent cx="840428" cy="567856"/>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7" cstate="print"/>
                    <a:stretch>
                      <a:fillRect/>
                    </a:stretch>
                  </pic:blipFill>
                  <pic:spPr>
                    <a:xfrm>
                      <a:off x="0" y="0"/>
                      <a:ext cx="840428" cy="567856"/>
                    </a:xfrm>
                    <a:prstGeom prst="rect">
                      <a:avLst/>
                    </a:prstGeom>
                  </pic:spPr>
                </pic:pic>
              </a:graphicData>
            </a:graphic>
          </wp:anchor>
        </w:drawing>
      </w:r>
      <w:r>
        <w:rPr/>
        <w:drawing>
          <wp:anchor distT="0" distB="0" distL="0" distR="0" allowOverlap="1" layoutInCell="1" locked="0" behindDoc="0" simplePos="0" relativeHeight="15733760">
            <wp:simplePos x="0" y="0"/>
            <wp:positionH relativeFrom="page">
              <wp:posOffset>460378</wp:posOffset>
            </wp:positionH>
            <wp:positionV relativeFrom="paragraph">
              <wp:posOffset>2518959</wp:posOffset>
            </wp:positionV>
            <wp:extent cx="840428" cy="567856"/>
            <wp:effectExtent l="0" t="0" r="0" b="0"/>
            <wp:wrapNone/>
            <wp:docPr id="7" name="Image 7"/>
            <wp:cNvGraphicFramePr>
              <a:graphicFrameLocks/>
            </wp:cNvGraphicFramePr>
            <a:graphic>
              <a:graphicData uri="http://schemas.openxmlformats.org/drawingml/2006/picture">
                <pic:pic>
                  <pic:nvPicPr>
                    <pic:cNvPr id="7" name="Image 7"/>
                    <pic:cNvPicPr/>
                  </pic:nvPicPr>
                  <pic:blipFill>
                    <a:blip r:embed="rId7" cstate="print"/>
                    <a:stretch>
                      <a:fillRect/>
                    </a:stretch>
                  </pic:blipFill>
                  <pic:spPr>
                    <a:xfrm>
                      <a:off x="0" y="0"/>
                      <a:ext cx="840428" cy="567856"/>
                    </a:xfrm>
                    <a:prstGeom prst="rect">
                      <a:avLst/>
                    </a:prstGeom>
                  </pic:spPr>
                </pic:pic>
              </a:graphicData>
            </a:graphic>
          </wp:anchor>
        </w:drawing>
      </w:r>
      <w:r>
        <w:rPr>
          <w:spacing w:val="-2"/>
        </w:rPr>
        <w:t>Secretária</w:t>
      </w:r>
    </w:p>
    <w:p>
      <w:pPr>
        <w:pStyle w:val="BodyText"/>
        <w:spacing w:before="11"/>
        <w:ind w:left="0"/>
        <w:rPr>
          <w:sz w:val="8"/>
        </w:rPr>
      </w:pPr>
      <w:r>
        <w:rPr>
          <w:sz w:val="8"/>
        </w:rPr>
        <mc:AlternateContent>
          <mc:Choice Requires="wps">
            <w:drawing>
              <wp:anchor distT="0" distB="0" distL="0" distR="0" allowOverlap="1" layoutInCell="1" locked="0" behindDoc="1" simplePos="0" relativeHeight="487587840">
                <wp:simplePos x="0" y="0"/>
                <wp:positionH relativeFrom="page">
                  <wp:posOffset>437664</wp:posOffset>
                </wp:positionH>
                <wp:positionV relativeFrom="paragraph">
                  <wp:posOffset>80642</wp:posOffset>
                </wp:positionV>
                <wp:extent cx="6678295" cy="15240"/>
                <wp:effectExtent l="0" t="0" r="0" b="0"/>
                <wp:wrapTopAndBottom/>
                <wp:docPr id="8" name="Group 8"/>
                <wp:cNvGraphicFramePr>
                  <a:graphicFrameLocks/>
                </wp:cNvGraphicFramePr>
                <a:graphic>
                  <a:graphicData uri="http://schemas.microsoft.com/office/word/2010/wordprocessingGroup">
                    <wpg:wgp>
                      <wpg:cNvPr id="8" name="Group 8"/>
                      <wpg:cNvGrpSpPr/>
                      <wpg:grpSpPr>
                        <a:xfrm>
                          <a:off x="0" y="0"/>
                          <a:ext cx="6678295" cy="15240"/>
                          <a:chExt cx="6678295" cy="15240"/>
                        </a:xfrm>
                      </wpg:grpSpPr>
                      <wps:wsp>
                        <wps:cNvPr id="9" name="Graphic 9"/>
                        <wps:cNvSpPr/>
                        <wps:spPr>
                          <a:xfrm>
                            <a:off x="0" y="0"/>
                            <a:ext cx="6678295" cy="7620"/>
                          </a:xfrm>
                          <a:custGeom>
                            <a:avLst/>
                            <a:gdLst/>
                            <a:ahLst/>
                            <a:cxnLst/>
                            <a:rect l="l" t="t" r="r" b="b"/>
                            <a:pathLst>
                              <a:path w="6678295" h="7620">
                                <a:moveTo>
                                  <a:pt x="6670425" y="7571"/>
                                </a:moveTo>
                                <a:lnTo>
                                  <a:pt x="0" y="7571"/>
                                </a:lnTo>
                                <a:lnTo>
                                  <a:pt x="0" y="0"/>
                                </a:lnTo>
                                <a:lnTo>
                                  <a:pt x="6677996" y="0"/>
                                </a:lnTo>
                                <a:lnTo>
                                  <a:pt x="6670425" y="7571"/>
                                </a:lnTo>
                                <a:close/>
                              </a:path>
                            </a:pathLst>
                          </a:custGeom>
                          <a:solidFill>
                            <a:srgbClr val="999999"/>
                          </a:solidFill>
                        </wps:spPr>
                        <wps:bodyPr wrap="square" lIns="0" tIns="0" rIns="0" bIns="0" rtlCol="0">
                          <a:prstTxWarp prst="textNoShape">
                            <a:avLst/>
                          </a:prstTxWarp>
                          <a:noAutofit/>
                        </wps:bodyPr>
                      </wps:wsp>
                      <wps:wsp>
                        <wps:cNvPr id="10" name="Graphic 10"/>
                        <wps:cNvSpPr/>
                        <wps:spPr>
                          <a:xfrm>
                            <a:off x="0" y="7571"/>
                            <a:ext cx="6678295" cy="7620"/>
                          </a:xfrm>
                          <a:custGeom>
                            <a:avLst/>
                            <a:gdLst/>
                            <a:ahLst/>
                            <a:cxnLst/>
                            <a:rect l="l" t="t" r="r" b="b"/>
                            <a:pathLst>
                              <a:path w="6678295" h="7620">
                                <a:moveTo>
                                  <a:pt x="6677996" y="7571"/>
                                </a:moveTo>
                                <a:lnTo>
                                  <a:pt x="0" y="7571"/>
                                </a:lnTo>
                                <a:lnTo>
                                  <a:pt x="7571" y="0"/>
                                </a:lnTo>
                                <a:lnTo>
                                  <a:pt x="6677996" y="0"/>
                                </a:lnTo>
                                <a:lnTo>
                                  <a:pt x="6677996" y="7571"/>
                                </a:lnTo>
                                <a:close/>
                              </a:path>
                            </a:pathLst>
                          </a:custGeom>
                          <a:solidFill>
                            <a:srgbClr val="EDEDED"/>
                          </a:solidFill>
                        </wps:spPr>
                        <wps:bodyPr wrap="square" lIns="0" tIns="0" rIns="0" bIns="0" rtlCol="0">
                          <a:prstTxWarp prst="textNoShape">
                            <a:avLst/>
                          </a:prstTxWarp>
                          <a:noAutofit/>
                        </wps:bodyPr>
                      </wps:wsp>
                      <wps:wsp>
                        <wps:cNvPr id="11" name="Graphic 11"/>
                        <wps:cNvSpPr/>
                        <wps:spPr>
                          <a:xfrm>
                            <a:off x="0" y="0"/>
                            <a:ext cx="7620" cy="15240"/>
                          </a:xfrm>
                          <a:custGeom>
                            <a:avLst/>
                            <a:gdLst/>
                            <a:ahLst/>
                            <a:cxnLst/>
                            <a:rect l="l" t="t" r="r" b="b"/>
                            <a:pathLst>
                              <a:path w="7620" h="15240">
                                <a:moveTo>
                                  <a:pt x="0" y="15142"/>
                                </a:moveTo>
                                <a:lnTo>
                                  <a:pt x="0" y="0"/>
                                </a:lnTo>
                                <a:lnTo>
                                  <a:pt x="7571" y="0"/>
                                </a:lnTo>
                                <a:lnTo>
                                  <a:pt x="7571" y="7571"/>
                                </a:lnTo>
                                <a:lnTo>
                                  <a:pt x="0" y="15142"/>
                                </a:lnTo>
                                <a:close/>
                              </a:path>
                            </a:pathLst>
                          </a:custGeom>
                          <a:solidFill>
                            <a:srgbClr val="999999"/>
                          </a:solidFill>
                        </wps:spPr>
                        <wps:bodyPr wrap="square" lIns="0" tIns="0" rIns="0" bIns="0" rtlCol="0">
                          <a:prstTxWarp prst="textNoShape">
                            <a:avLst/>
                          </a:prstTxWarp>
                          <a:noAutofit/>
                        </wps:bodyPr>
                      </wps:wsp>
                      <wps:wsp>
                        <wps:cNvPr id="12" name="Graphic 12"/>
                        <wps:cNvSpPr/>
                        <wps:spPr>
                          <a:xfrm>
                            <a:off x="6670425" y="0"/>
                            <a:ext cx="7620" cy="15240"/>
                          </a:xfrm>
                          <a:custGeom>
                            <a:avLst/>
                            <a:gdLst/>
                            <a:ahLst/>
                            <a:cxnLst/>
                            <a:rect l="l" t="t" r="r" b="b"/>
                            <a:pathLst>
                              <a:path w="7620" h="15240">
                                <a:moveTo>
                                  <a:pt x="7571" y="15142"/>
                                </a:moveTo>
                                <a:lnTo>
                                  <a:pt x="0" y="15142"/>
                                </a:lnTo>
                                <a:lnTo>
                                  <a:pt x="0" y="7571"/>
                                </a:lnTo>
                                <a:lnTo>
                                  <a:pt x="7571" y="0"/>
                                </a:lnTo>
                                <a:lnTo>
                                  <a:pt x="7571" y="15142"/>
                                </a:lnTo>
                                <a:close/>
                              </a:path>
                            </a:pathLst>
                          </a:custGeom>
                          <a:solidFill>
                            <a:srgbClr val="EDEDED"/>
                          </a:solidFill>
                        </wps:spPr>
                        <wps:bodyPr wrap="square" lIns="0" tIns="0" rIns="0" bIns="0" rtlCol="0">
                          <a:prstTxWarp prst="textNoShape">
                            <a:avLst/>
                          </a:prstTxWarp>
                          <a:noAutofit/>
                        </wps:bodyPr>
                      </wps:wsp>
                    </wpg:wgp>
                  </a:graphicData>
                </a:graphic>
              </wp:anchor>
            </w:drawing>
          </mc:Choice>
          <mc:Fallback>
            <w:pict>
              <v:group style="position:absolute;margin-left:34.46175pt;margin-top:6.349811pt;width:525.85pt;height:1.2pt;mso-position-horizontal-relative:page;mso-position-vertical-relative:paragraph;z-index:-15728640;mso-wrap-distance-left:0;mso-wrap-distance-right:0" id="docshapegroup3" coordorigin="689,127" coordsize="10517,24">
                <v:shape style="position:absolute;left:689;top:127;width:10517;height:12" id="docshape4" coordorigin="689,127" coordsize="10517,12" path="m11194,139l689,139,689,127,11206,127,11194,139xe" filled="true" fillcolor="#999999" stroked="false">
                  <v:path arrowok="t"/>
                  <v:fill type="solid"/>
                </v:shape>
                <v:shape style="position:absolute;left:689;top:138;width:10517;height:12" id="docshape5" coordorigin="689,139" coordsize="10517,12" path="m11206,151l689,151,701,139,11206,139,11206,151xe" filled="true" fillcolor="#ededed" stroked="false">
                  <v:path arrowok="t"/>
                  <v:fill type="solid"/>
                </v:shape>
                <v:shape style="position:absolute;left:689;top:127;width:12;height:24" id="docshape6" coordorigin="689,127" coordsize="12,24" path="m689,151l689,127,701,127,701,139,689,151xe" filled="true" fillcolor="#999999" stroked="false">
                  <v:path arrowok="t"/>
                  <v:fill type="solid"/>
                </v:shape>
                <v:shape style="position:absolute;left:11193;top:127;width:12;height:24" id="docshape7" coordorigin="11194,127" coordsize="12,24" path="m11206,151l11194,151,11194,139,11206,127,11206,151xe" filled="true" fillcolor="#ededed" stroked="false">
                  <v:path arrowok="t"/>
                  <v:fill type="solid"/>
                </v:shape>
                <w10:wrap type="topAndBottom"/>
              </v:group>
            </w:pict>
          </mc:Fallback>
        </mc:AlternateContent>
      </w:r>
    </w:p>
    <w:p>
      <w:pPr>
        <w:spacing w:line="249" w:lineRule="auto" w:before="197"/>
        <w:ind w:left="1530" w:right="245" w:firstLine="0"/>
        <w:jc w:val="left"/>
        <w:rPr>
          <w:sz w:val="21"/>
        </w:rPr>
      </w:pPr>
      <w:r>
        <w:rPr>
          <w:sz w:val="21"/>
        </w:rPr>
        <w:t>Documento assinado eletronicamente por </w:t>
      </w:r>
      <w:r>
        <w:rPr>
          <w:b/>
          <w:sz w:val="21"/>
        </w:rPr>
        <w:t>Ivo Cordeiro Pinho Timbó</w:t>
      </w:r>
      <w:r>
        <w:rPr>
          <w:b/>
          <w:spacing w:val="-28"/>
          <w:sz w:val="21"/>
        </w:rPr>
        <w:t> </w:t>
      </w:r>
      <w:r>
        <w:rPr>
          <w:sz w:val="21"/>
        </w:rPr>
        <w:t>, </w:t>
      </w:r>
      <w:r>
        <w:rPr>
          <w:b/>
          <w:sz w:val="21"/>
        </w:rPr>
        <w:t>Conselheiro</w:t>
      </w:r>
      <w:r>
        <w:rPr>
          <w:sz w:val="21"/>
        </w:rPr>
        <w:t>, em 26/05/2026, às 16:24, conforme horário oficial de Brasília, com fundamento no art. 3°, inciso V, da Portaria nº 446/2015 do Ministério dos Transportes.</w:t>
      </w:r>
    </w:p>
    <w:p>
      <w:pPr>
        <w:pStyle w:val="BodyText"/>
        <w:spacing w:before="7"/>
        <w:ind w:left="0"/>
        <w:rPr>
          <w:sz w:val="9"/>
        </w:rPr>
      </w:pPr>
      <w:r>
        <w:rPr>
          <w:sz w:val="9"/>
        </w:rPr>
        <mc:AlternateContent>
          <mc:Choice Requires="wps">
            <w:drawing>
              <wp:anchor distT="0" distB="0" distL="0" distR="0" allowOverlap="1" layoutInCell="1" locked="0" behindDoc="1" simplePos="0" relativeHeight="487588352">
                <wp:simplePos x="0" y="0"/>
                <wp:positionH relativeFrom="page">
                  <wp:posOffset>437664</wp:posOffset>
                </wp:positionH>
                <wp:positionV relativeFrom="paragraph">
                  <wp:posOffset>85485</wp:posOffset>
                </wp:positionV>
                <wp:extent cx="6678295" cy="15240"/>
                <wp:effectExtent l="0" t="0" r="0" b="0"/>
                <wp:wrapTopAndBottom/>
                <wp:docPr id="13" name="Group 13"/>
                <wp:cNvGraphicFramePr>
                  <a:graphicFrameLocks/>
                </wp:cNvGraphicFramePr>
                <a:graphic>
                  <a:graphicData uri="http://schemas.microsoft.com/office/word/2010/wordprocessingGroup">
                    <wpg:wgp>
                      <wpg:cNvPr id="13" name="Group 13"/>
                      <wpg:cNvGrpSpPr/>
                      <wpg:grpSpPr>
                        <a:xfrm>
                          <a:off x="0" y="0"/>
                          <a:ext cx="6678295" cy="15240"/>
                          <a:chExt cx="6678295" cy="15240"/>
                        </a:xfrm>
                      </wpg:grpSpPr>
                      <wps:wsp>
                        <wps:cNvPr id="14" name="Graphic 14"/>
                        <wps:cNvSpPr/>
                        <wps:spPr>
                          <a:xfrm>
                            <a:off x="0" y="0"/>
                            <a:ext cx="6678295" cy="7620"/>
                          </a:xfrm>
                          <a:custGeom>
                            <a:avLst/>
                            <a:gdLst/>
                            <a:ahLst/>
                            <a:cxnLst/>
                            <a:rect l="l" t="t" r="r" b="b"/>
                            <a:pathLst>
                              <a:path w="6678295" h="7620">
                                <a:moveTo>
                                  <a:pt x="6670425" y="7571"/>
                                </a:moveTo>
                                <a:lnTo>
                                  <a:pt x="0" y="7571"/>
                                </a:lnTo>
                                <a:lnTo>
                                  <a:pt x="0" y="0"/>
                                </a:lnTo>
                                <a:lnTo>
                                  <a:pt x="6677996" y="0"/>
                                </a:lnTo>
                                <a:lnTo>
                                  <a:pt x="6670425" y="7571"/>
                                </a:lnTo>
                                <a:close/>
                              </a:path>
                            </a:pathLst>
                          </a:custGeom>
                          <a:solidFill>
                            <a:srgbClr val="999999"/>
                          </a:solidFill>
                        </wps:spPr>
                        <wps:bodyPr wrap="square" lIns="0" tIns="0" rIns="0" bIns="0" rtlCol="0">
                          <a:prstTxWarp prst="textNoShape">
                            <a:avLst/>
                          </a:prstTxWarp>
                          <a:noAutofit/>
                        </wps:bodyPr>
                      </wps:wsp>
                      <wps:wsp>
                        <wps:cNvPr id="15" name="Graphic 15"/>
                        <wps:cNvSpPr/>
                        <wps:spPr>
                          <a:xfrm>
                            <a:off x="0" y="7571"/>
                            <a:ext cx="6678295" cy="7620"/>
                          </a:xfrm>
                          <a:custGeom>
                            <a:avLst/>
                            <a:gdLst/>
                            <a:ahLst/>
                            <a:cxnLst/>
                            <a:rect l="l" t="t" r="r" b="b"/>
                            <a:pathLst>
                              <a:path w="6678295" h="7620">
                                <a:moveTo>
                                  <a:pt x="6677996" y="7571"/>
                                </a:moveTo>
                                <a:lnTo>
                                  <a:pt x="0" y="7571"/>
                                </a:lnTo>
                                <a:lnTo>
                                  <a:pt x="7571" y="0"/>
                                </a:lnTo>
                                <a:lnTo>
                                  <a:pt x="6677996" y="0"/>
                                </a:lnTo>
                                <a:lnTo>
                                  <a:pt x="6677996" y="7571"/>
                                </a:lnTo>
                                <a:close/>
                              </a:path>
                            </a:pathLst>
                          </a:custGeom>
                          <a:solidFill>
                            <a:srgbClr val="EDEDED"/>
                          </a:solidFill>
                        </wps:spPr>
                        <wps:bodyPr wrap="square" lIns="0" tIns="0" rIns="0" bIns="0" rtlCol="0">
                          <a:prstTxWarp prst="textNoShape">
                            <a:avLst/>
                          </a:prstTxWarp>
                          <a:noAutofit/>
                        </wps:bodyPr>
                      </wps:wsp>
                      <wps:wsp>
                        <wps:cNvPr id="16" name="Graphic 16"/>
                        <wps:cNvSpPr/>
                        <wps:spPr>
                          <a:xfrm>
                            <a:off x="0" y="0"/>
                            <a:ext cx="7620" cy="15240"/>
                          </a:xfrm>
                          <a:custGeom>
                            <a:avLst/>
                            <a:gdLst/>
                            <a:ahLst/>
                            <a:cxnLst/>
                            <a:rect l="l" t="t" r="r" b="b"/>
                            <a:pathLst>
                              <a:path w="7620" h="15240">
                                <a:moveTo>
                                  <a:pt x="0" y="15142"/>
                                </a:moveTo>
                                <a:lnTo>
                                  <a:pt x="0" y="0"/>
                                </a:lnTo>
                                <a:lnTo>
                                  <a:pt x="7571" y="0"/>
                                </a:lnTo>
                                <a:lnTo>
                                  <a:pt x="7571" y="7571"/>
                                </a:lnTo>
                                <a:lnTo>
                                  <a:pt x="0" y="15142"/>
                                </a:lnTo>
                                <a:close/>
                              </a:path>
                            </a:pathLst>
                          </a:custGeom>
                          <a:solidFill>
                            <a:srgbClr val="999999"/>
                          </a:solidFill>
                        </wps:spPr>
                        <wps:bodyPr wrap="square" lIns="0" tIns="0" rIns="0" bIns="0" rtlCol="0">
                          <a:prstTxWarp prst="textNoShape">
                            <a:avLst/>
                          </a:prstTxWarp>
                          <a:noAutofit/>
                        </wps:bodyPr>
                      </wps:wsp>
                      <wps:wsp>
                        <wps:cNvPr id="17" name="Graphic 17"/>
                        <wps:cNvSpPr/>
                        <wps:spPr>
                          <a:xfrm>
                            <a:off x="6670425" y="0"/>
                            <a:ext cx="7620" cy="15240"/>
                          </a:xfrm>
                          <a:custGeom>
                            <a:avLst/>
                            <a:gdLst/>
                            <a:ahLst/>
                            <a:cxnLst/>
                            <a:rect l="l" t="t" r="r" b="b"/>
                            <a:pathLst>
                              <a:path w="7620" h="15240">
                                <a:moveTo>
                                  <a:pt x="7571" y="15142"/>
                                </a:moveTo>
                                <a:lnTo>
                                  <a:pt x="0" y="15142"/>
                                </a:lnTo>
                                <a:lnTo>
                                  <a:pt x="0" y="7571"/>
                                </a:lnTo>
                                <a:lnTo>
                                  <a:pt x="7571" y="0"/>
                                </a:lnTo>
                                <a:lnTo>
                                  <a:pt x="7571" y="15142"/>
                                </a:lnTo>
                                <a:close/>
                              </a:path>
                            </a:pathLst>
                          </a:custGeom>
                          <a:solidFill>
                            <a:srgbClr val="EDEDED"/>
                          </a:solidFill>
                        </wps:spPr>
                        <wps:bodyPr wrap="square" lIns="0" tIns="0" rIns="0" bIns="0" rtlCol="0">
                          <a:prstTxWarp prst="textNoShape">
                            <a:avLst/>
                          </a:prstTxWarp>
                          <a:noAutofit/>
                        </wps:bodyPr>
                      </wps:wsp>
                    </wpg:wgp>
                  </a:graphicData>
                </a:graphic>
              </wp:anchor>
            </w:drawing>
          </mc:Choice>
          <mc:Fallback>
            <w:pict>
              <v:group style="position:absolute;margin-left:34.46175pt;margin-top:6.731141pt;width:525.85pt;height:1.2pt;mso-position-horizontal-relative:page;mso-position-vertical-relative:paragraph;z-index:-15728128;mso-wrap-distance-left:0;mso-wrap-distance-right:0" id="docshapegroup8" coordorigin="689,135" coordsize="10517,24">
                <v:shape style="position:absolute;left:689;top:134;width:10517;height:12" id="docshape9" coordorigin="689,135" coordsize="10517,12" path="m11194,147l689,147,689,135,11206,135,11194,147xe" filled="true" fillcolor="#999999" stroked="false">
                  <v:path arrowok="t"/>
                  <v:fill type="solid"/>
                </v:shape>
                <v:shape style="position:absolute;left:689;top:146;width:10517;height:12" id="docshape10" coordorigin="689,147" coordsize="10517,12" path="m11206,158l689,158,701,147,11206,147,11206,158xe" filled="true" fillcolor="#ededed" stroked="false">
                  <v:path arrowok="t"/>
                  <v:fill type="solid"/>
                </v:shape>
                <v:shape style="position:absolute;left:689;top:134;width:12;height:24" id="docshape11" coordorigin="689,135" coordsize="12,24" path="m689,158l689,135,701,135,701,147,689,158xe" filled="true" fillcolor="#999999" stroked="false">
                  <v:path arrowok="t"/>
                  <v:fill type="solid"/>
                </v:shape>
                <v:shape style="position:absolute;left:11193;top:134;width:12;height:24" id="docshape12" coordorigin="11194,135" coordsize="12,24" path="m11206,158l11194,158,11194,147,11206,135,11206,158xe" filled="true" fillcolor="#ededed" stroked="false">
                  <v:path arrowok="t"/>
                  <v:fill type="solid"/>
                </v:shape>
                <w10:wrap type="topAndBottom"/>
              </v:group>
            </w:pict>
          </mc:Fallback>
        </mc:AlternateContent>
      </w:r>
    </w:p>
    <w:p>
      <w:pPr>
        <w:spacing w:line="249" w:lineRule="auto" w:before="197"/>
        <w:ind w:left="1530" w:right="245" w:firstLine="0"/>
        <w:jc w:val="left"/>
        <w:rPr>
          <w:sz w:val="21"/>
        </w:rPr>
      </w:pPr>
      <w:r>
        <w:rPr>
          <w:sz w:val="21"/>
        </w:rPr>
        <w:t>Documento assinado eletronicamente por </w:t>
      </w:r>
      <w:r>
        <w:rPr>
          <w:b/>
          <w:sz w:val="21"/>
        </w:rPr>
        <w:t>BRUNO FERNANDES DA ROCHA BORBA</w:t>
      </w:r>
      <w:r>
        <w:rPr>
          <w:b/>
          <w:spacing w:val="-19"/>
          <w:sz w:val="21"/>
        </w:rPr>
        <w:t> </w:t>
      </w:r>
      <w:r>
        <w:rPr>
          <w:sz w:val="21"/>
        </w:rPr>
        <w:t>, </w:t>
      </w:r>
      <w:r>
        <w:rPr>
          <w:b/>
          <w:sz w:val="21"/>
        </w:rPr>
        <w:t>Conselheiro</w:t>
      </w:r>
      <w:r>
        <w:rPr>
          <w:sz w:val="21"/>
        </w:rPr>
        <w:t>, em 28/05/2026, às 15:49, conforme horário oficial de Brasília, com fundamento no art. 3°, inciso V, da Portaria nº 446/2015 do Ministério dos Transportes.</w:t>
      </w:r>
    </w:p>
    <w:p>
      <w:pPr>
        <w:pStyle w:val="BodyText"/>
        <w:spacing w:before="7"/>
        <w:ind w:left="0"/>
        <w:rPr>
          <w:sz w:val="9"/>
        </w:rPr>
      </w:pPr>
      <w:r>
        <w:rPr>
          <w:sz w:val="9"/>
        </w:rPr>
        <mc:AlternateContent>
          <mc:Choice Requires="wps">
            <w:drawing>
              <wp:anchor distT="0" distB="0" distL="0" distR="0" allowOverlap="1" layoutInCell="1" locked="0" behindDoc="1" simplePos="0" relativeHeight="487588864">
                <wp:simplePos x="0" y="0"/>
                <wp:positionH relativeFrom="page">
                  <wp:posOffset>437664</wp:posOffset>
                </wp:positionH>
                <wp:positionV relativeFrom="paragraph">
                  <wp:posOffset>85485</wp:posOffset>
                </wp:positionV>
                <wp:extent cx="6678295" cy="15240"/>
                <wp:effectExtent l="0" t="0" r="0" b="0"/>
                <wp:wrapTopAndBottom/>
                <wp:docPr id="18" name="Group 18"/>
                <wp:cNvGraphicFramePr>
                  <a:graphicFrameLocks/>
                </wp:cNvGraphicFramePr>
                <a:graphic>
                  <a:graphicData uri="http://schemas.microsoft.com/office/word/2010/wordprocessingGroup">
                    <wpg:wgp>
                      <wpg:cNvPr id="18" name="Group 18"/>
                      <wpg:cNvGrpSpPr/>
                      <wpg:grpSpPr>
                        <a:xfrm>
                          <a:off x="0" y="0"/>
                          <a:ext cx="6678295" cy="15240"/>
                          <a:chExt cx="6678295" cy="15240"/>
                        </a:xfrm>
                      </wpg:grpSpPr>
                      <wps:wsp>
                        <wps:cNvPr id="19" name="Graphic 19"/>
                        <wps:cNvSpPr/>
                        <wps:spPr>
                          <a:xfrm>
                            <a:off x="0" y="0"/>
                            <a:ext cx="6678295" cy="7620"/>
                          </a:xfrm>
                          <a:custGeom>
                            <a:avLst/>
                            <a:gdLst/>
                            <a:ahLst/>
                            <a:cxnLst/>
                            <a:rect l="l" t="t" r="r" b="b"/>
                            <a:pathLst>
                              <a:path w="6678295" h="7620">
                                <a:moveTo>
                                  <a:pt x="6670425" y="7571"/>
                                </a:moveTo>
                                <a:lnTo>
                                  <a:pt x="0" y="7571"/>
                                </a:lnTo>
                                <a:lnTo>
                                  <a:pt x="0" y="0"/>
                                </a:lnTo>
                                <a:lnTo>
                                  <a:pt x="6677996" y="0"/>
                                </a:lnTo>
                                <a:lnTo>
                                  <a:pt x="6670425" y="7571"/>
                                </a:lnTo>
                                <a:close/>
                              </a:path>
                            </a:pathLst>
                          </a:custGeom>
                          <a:solidFill>
                            <a:srgbClr val="999999"/>
                          </a:solidFill>
                        </wps:spPr>
                        <wps:bodyPr wrap="square" lIns="0" tIns="0" rIns="0" bIns="0" rtlCol="0">
                          <a:prstTxWarp prst="textNoShape">
                            <a:avLst/>
                          </a:prstTxWarp>
                          <a:noAutofit/>
                        </wps:bodyPr>
                      </wps:wsp>
                      <wps:wsp>
                        <wps:cNvPr id="20" name="Graphic 20"/>
                        <wps:cNvSpPr/>
                        <wps:spPr>
                          <a:xfrm>
                            <a:off x="0" y="7571"/>
                            <a:ext cx="6678295" cy="7620"/>
                          </a:xfrm>
                          <a:custGeom>
                            <a:avLst/>
                            <a:gdLst/>
                            <a:ahLst/>
                            <a:cxnLst/>
                            <a:rect l="l" t="t" r="r" b="b"/>
                            <a:pathLst>
                              <a:path w="6678295" h="7620">
                                <a:moveTo>
                                  <a:pt x="6677996" y="7571"/>
                                </a:moveTo>
                                <a:lnTo>
                                  <a:pt x="0" y="7571"/>
                                </a:lnTo>
                                <a:lnTo>
                                  <a:pt x="7571" y="0"/>
                                </a:lnTo>
                                <a:lnTo>
                                  <a:pt x="6677996" y="0"/>
                                </a:lnTo>
                                <a:lnTo>
                                  <a:pt x="6677996" y="7571"/>
                                </a:lnTo>
                                <a:close/>
                              </a:path>
                            </a:pathLst>
                          </a:custGeom>
                          <a:solidFill>
                            <a:srgbClr val="EDEDED"/>
                          </a:solidFill>
                        </wps:spPr>
                        <wps:bodyPr wrap="square" lIns="0" tIns="0" rIns="0" bIns="0" rtlCol="0">
                          <a:prstTxWarp prst="textNoShape">
                            <a:avLst/>
                          </a:prstTxWarp>
                          <a:noAutofit/>
                        </wps:bodyPr>
                      </wps:wsp>
                      <wps:wsp>
                        <wps:cNvPr id="21" name="Graphic 21"/>
                        <wps:cNvSpPr/>
                        <wps:spPr>
                          <a:xfrm>
                            <a:off x="0" y="0"/>
                            <a:ext cx="7620" cy="15240"/>
                          </a:xfrm>
                          <a:custGeom>
                            <a:avLst/>
                            <a:gdLst/>
                            <a:ahLst/>
                            <a:cxnLst/>
                            <a:rect l="l" t="t" r="r" b="b"/>
                            <a:pathLst>
                              <a:path w="7620" h="15240">
                                <a:moveTo>
                                  <a:pt x="0" y="15142"/>
                                </a:moveTo>
                                <a:lnTo>
                                  <a:pt x="0" y="0"/>
                                </a:lnTo>
                                <a:lnTo>
                                  <a:pt x="7571" y="0"/>
                                </a:lnTo>
                                <a:lnTo>
                                  <a:pt x="7571" y="7571"/>
                                </a:lnTo>
                                <a:lnTo>
                                  <a:pt x="0" y="15142"/>
                                </a:lnTo>
                                <a:close/>
                              </a:path>
                            </a:pathLst>
                          </a:custGeom>
                          <a:solidFill>
                            <a:srgbClr val="999999"/>
                          </a:solidFill>
                        </wps:spPr>
                        <wps:bodyPr wrap="square" lIns="0" tIns="0" rIns="0" bIns="0" rtlCol="0">
                          <a:prstTxWarp prst="textNoShape">
                            <a:avLst/>
                          </a:prstTxWarp>
                          <a:noAutofit/>
                        </wps:bodyPr>
                      </wps:wsp>
                      <wps:wsp>
                        <wps:cNvPr id="22" name="Graphic 22"/>
                        <wps:cNvSpPr/>
                        <wps:spPr>
                          <a:xfrm>
                            <a:off x="6670425" y="0"/>
                            <a:ext cx="7620" cy="15240"/>
                          </a:xfrm>
                          <a:custGeom>
                            <a:avLst/>
                            <a:gdLst/>
                            <a:ahLst/>
                            <a:cxnLst/>
                            <a:rect l="l" t="t" r="r" b="b"/>
                            <a:pathLst>
                              <a:path w="7620" h="15240">
                                <a:moveTo>
                                  <a:pt x="7571" y="15142"/>
                                </a:moveTo>
                                <a:lnTo>
                                  <a:pt x="0" y="15142"/>
                                </a:lnTo>
                                <a:lnTo>
                                  <a:pt x="0" y="7571"/>
                                </a:lnTo>
                                <a:lnTo>
                                  <a:pt x="7571" y="0"/>
                                </a:lnTo>
                                <a:lnTo>
                                  <a:pt x="7571" y="15142"/>
                                </a:lnTo>
                                <a:close/>
                              </a:path>
                            </a:pathLst>
                          </a:custGeom>
                          <a:solidFill>
                            <a:srgbClr val="EDEDED"/>
                          </a:solidFill>
                        </wps:spPr>
                        <wps:bodyPr wrap="square" lIns="0" tIns="0" rIns="0" bIns="0" rtlCol="0">
                          <a:prstTxWarp prst="textNoShape">
                            <a:avLst/>
                          </a:prstTxWarp>
                          <a:noAutofit/>
                        </wps:bodyPr>
                      </wps:wsp>
                    </wpg:wgp>
                  </a:graphicData>
                </a:graphic>
              </wp:anchor>
            </w:drawing>
          </mc:Choice>
          <mc:Fallback>
            <w:pict>
              <v:group style="position:absolute;margin-left:34.46175pt;margin-top:6.73114pt;width:525.85pt;height:1.2pt;mso-position-horizontal-relative:page;mso-position-vertical-relative:paragraph;z-index:-15727616;mso-wrap-distance-left:0;mso-wrap-distance-right:0" id="docshapegroup13" coordorigin="689,135" coordsize="10517,24">
                <v:shape style="position:absolute;left:689;top:134;width:10517;height:12" id="docshape14" coordorigin="689,135" coordsize="10517,12" path="m11194,147l689,147,689,135,11206,135,11194,147xe" filled="true" fillcolor="#999999" stroked="false">
                  <v:path arrowok="t"/>
                  <v:fill type="solid"/>
                </v:shape>
                <v:shape style="position:absolute;left:689;top:146;width:10517;height:12" id="docshape15" coordorigin="689,147" coordsize="10517,12" path="m11206,158l689,158,701,147,11206,147,11206,158xe" filled="true" fillcolor="#ededed" stroked="false">
                  <v:path arrowok="t"/>
                  <v:fill type="solid"/>
                </v:shape>
                <v:shape style="position:absolute;left:689;top:134;width:12;height:24" id="docshape16" coordorigin="689,135" coordsize="12,24" path="m689,158l689,135,701,135,701,147,689,158xe" filled="true" fillcolor="#999999" stroked="false">
                  <v:path arrowok="t"/>
                  <v:fill type="solid"/>
                </v:shape>
                <v:shape style="position:absolute;left:11193;top:134;width:12;height:24" id="docshape17" coordorigin="11194,135" coordsize="12,24" path="m11206,158l11194,158,11194,147,11206,135,11206,158xe" filled="true" fillcolor="#ededed" stroked="false">
                  <v:path arrowok="t"/>
                  <v:fill type="solid"/>
                </v:shape>
                <w10:wrap type="topAndBottom"/>
              </v:group>
            </w:pict>
          </mc:Fallback>
        </mc:AlternateContent>
      </w:r>
    </w:p>
    <w:p>
      <w:pPr>
        <w:spacing w:line="249" w:lineRule="auto" w:before="197"/>
        <w:ind w:left="1530" w:right="245" w:firstLine="0"/>
        <w:jc w:val="left"/>
        <w:rPr>
          <w:sz w:val="21"/>
        </w:rPr>
      </w:pPr>
      <w:r>
        <w:rPr>
          <w:sz w:val="21"/>
        </w:rPr>
        <w:t>Documento assinado eletronicamente por </w:t>
      </w:r>
      <w:r>
        <w:rPr>
          <w:b/>
          <w:sz w:val="21"/>
        </w:rPr>
        <w:t>Mayara Brenda Sousa do Nascimento</w:t>
      </w:r>
      <w:r>
        <w:rPr>
          <w:b/>
          <w:spacing w:val="-21"/>
          <w:sz w:val="21"/>
        </w:rPr>
        <w:t> </w:t>
      </w:r>
      <w:r>
        <w:rPr>
          <w:sz w:val="21"/>
        </w:rPr>
        <w:t>, </w:t>
      </w:r>
      <w:r>
        <w:rPr>
          <w:b/>
          <w:sz w:val="21"/>
        </w:rPr>
        <w:t>Secretário(a)</w:t>
      </w:r>
      <w:r>
        <w:rPr>
          <w:sz w:val="21"/>
        </w:rPr>
        <w:t>, em 29/05/2026, às 10:31, conforme horário oficial de Brasília, com fundamento no art. 3°, inciso V, da Portaria nº 446/2015 do Ministério dos Transportes.</w:t>
      </w:r>
    </w:p>
    <w:p>
      <w:pPr>
        <w:pStyle w:val="BodyText"/>
        <w:spacing w:before="7"/>
        <w:ind w:left="0"/>
        <w:rPr>
          <w:sz w:val="9"/>
        </w:rPr>
      </w:pPr>
      <w:r>
        <w:rPr>
          <w:sz w:val="9"/>
        </w:rPr>
        <mc:AlternateContent>
          <mc:Choice Requires="wps">
            <w:drawing>
              <wp:anchor distT="0" distB="0" distL="0" distR="0" allowOverlap="1" layoutInCell="1" locked="0" behindDoc="1" simplePos="0" relativeHeight="487589376">
                <wp:simplePos x="0" y="0"/>
                <wp:positionH relativeFrom="page">
                  <wp:posOffset>437664</wp:posOffset>
                </wp:positionH>
                <wp:positionV relativeFrom="paragraph">
                  <wp:posOffset>85485</wp:posOffset>
                </wp:positionV>
                <wp:extent cx="6678295" cy="15240"/>
                <wp:effectExtent l="0" t="0" r="0" b="0"/>
                <wp:wrapTopAndBottom/>
                <wp:docPr id="23" name="Group 23"/>
                <wp:cNvGraphicFramePr>
                  <a:graphicFrameLocks/>
                </wp:cNvGraphicFramePr>
                <a:graphic>
                  <a:graphicData uri="http://schemas.microsoft.com/office/word/2010/wordprocessingGroup">
                    <wpg:wgp>
                      <wpg:cNvPr id="23" name="Group 23"/>
                      <wpg:cNvGrpSpPr/>
                      <wpg:grpSpPr>
                        <a:xfrm>
                          <a:off x="0" y="0"/>
                          <a:ext cx="6678295" cy="15240"/>
                          <a:chExt cx="6678295" cy="15240"/>
                        </a:xfrm>
                      </wpg:grpSpPr>
                      <wps:wsp>
                        <wps:cNvPr id="24" name="Graphic 24"/>
                        <wps:cNvSpPr/>
                        <wps:spPr>
                          <a:xfrm>
                            <a:off x="0" y="0"/>
                            <a:ext cx="6678295" cy="7620"/>
                          </a:xfrm>
                          <a:custGeom>
                            <a:avLst/>
                            <a:gdLst/>
                            <a:ahLst/>
                            <a:cxnLst/>
                            <a:rect l="l" t="t" r="r" b="b"/>
                            <a:pathLst>
                              <a:path w="6678295" h="7620">
                                <a:moveTo>
                                  <a:pt x="6670425" y="7571"/>
                                </a:moveTo>
                                <a:lnTo>
                                  <a:pt x="0" y="7571"/>
                                </a:lnTo>
                                <a:lnTo>
                                  <a:pt x="0" y="0"/>
                                </a:lnTo>
                                <a:lnTo>
                                  <a:pt x="6677996" y="0"/>
                                </a:lnTo>
                                <a:lnTo>
                                  <a:pt x="6670425" y="7571"/>
                                </a:lnTo>
                                <a:close/>
                              </a:path>
                            </a:pathLst>
                          </a:custGeom>
                          <a:solidFill>
                            <a:srgbClr val="999999"/>
                          </a:solidFill>
                        </wps:spPr>
                        <wps:bodyPr wrap="square" lIns="0" tIns="0" rIns="0" bIns="0" rtlCol="0">
                          <a:prstTxWarp prst="textNoShape">
                            <a:avLst/>
                          </a:prstTxWarp>
                          <a:noAutofit/>
                        </wps:bodyPr>
                      </wps:wsp>
                      <wps:wsp>
                        <wps:cNvPr id="25" name="Graphic 25"/>
                        <wps:cNvSpPr/>
                        <wps:spPr>
                          <a:xfrm>
                            <a:off x="0" y="7571"/>
                            <a:ext cx="6678295" cy="7620"/>
                          </a:xfrm>
                          <a:custGeom>
                            <a:avLst/>
                            <a:gdLst/>
                            <a:ahLst/>
                            <a:cxnLst/>
                            <a:rect l="l" t="t" r="r" b="b"/>
                            <a:pathLst>
                              <a:path w="6678295" h="7620">
                                <a:moveTo>
                                  <a:pt x="6677996" y="7571"/>
                                </a:moveTo>
                                <a:lnTo>
                                  <a:pt x="0" y="7571"/>
                                </a:lnTo>
                                <a:lnTo>
                                  <a:pt x="7571" y="0"/>
                                </a:lnTo>
                                <a:lnTo>
                                  <a:pt x="6677996" y="0"/>
                                </a:lnTo>
                                <a:lnTo>
                                  <a:pt x="6677996" y="7571"/>
                                </a:lnTo>
                                <a:close/>
                              </a:path>
                            </a:pathLst>
                          </a:custGeom>
                          <a:solidFill>
                            <a:srgbClr val="EDEDED"/>
                          </a:solidFill>
                        </wps:spPr>
                        <wps:bodyPr wrap="square" lIns="0" tIns="0" rIns="0" bIns="0" rtlCol="0">
                          <a:prstTxWarp prst="textNoShape">
                            <a:avLst/>
                          </a:prstTxWarp>
                          <a:noAutofit/>
                        </wps:bodyPr>
                      </wps:wsp>
                      <wps:wsp>
                        <wps:cNvPr id="26" name="Graphic 26"/>
                        <wps:cNvSpPr/>
                        <wps:spPr>
                          <a:xfrm>
                            <a:off x="0" y="0"/>
                            <a:ext cx="7620" cy="15240"/>
                          </a:xfrm>
                          <a:custGeom>
                            <a:avLst/>
                            <a:gdLst/>
                            <a:ahLst/>
                            <a:cxnLst/>
                            <a:rect l="l" t="t" r="r" b="b"/>
                            <a:pathLst>
                              <a:path w="7620" h="15240">
                                <a:moveTo>
                                  <a:pt x="0" y="15142"/>
                                </a:moveTo>
                                <a:lnTo>
                                  <a:pt x="0" y="0"/>
                                </a:lnTo>
                                <a:lnTo>
                                  <a:pt x="7571" y="0"/>
                                </a:lnTo>
                                <a:lnTo>
                                  <a:pt x="7571" y="7571"/>
                                </a:lnTo>
                                <a:lnTo>
                                  <a:pt x="0" y="15142"/>
                                </a:lnTo>
                                <a:close/>
                              </a:path>
                            </a:pathLst>
                          </a:custGeom>
                          <a:solidFill>
                            <a:srgbClr val="999999"/>
                          </a:solidFill>
                        </wps:spPr>
                        <wps:bodyPr wrap="square" lIns="0" tIns="0" rIns="0" bIns="0" rtlCol="0">
                          <a:prstTxWarp prst="textNoShape">
                            <a:avLst/>
                          </a:prstTxWarp>
                          <a:noAutofit/>
                        </wps:bodyPr>
                      </wps:wsp>
                      <wps:wsp>
                        <wps:cNvPr id="27" name="Graphic 27"/>
                        <wps:cNvSpPr/>
                        <wps:spPr>
                          <a:xfrm>
                            <a:off x="6670425" y="0"/>
                            <a:ext cx="7620" cy="15240"/>
                          </a:xfrm>
                          <a:custGeom>
                            <a:avLst/>
                            <a:gdLst/>
                            <a:ahLst/>
                            <a:cxnLst/>
                            <a:rect l="l" t="t" r="r" b="b"/>
                            <a:pathLst>
                              <a:path w="7620" h="15240">
                                <a:moveTo>
                                  <a:pt x="7571" y="15142"/>
                                </a:moveTo>
                                <a:lnTo>
                                  <a:pt x="0" y="15142"/>
                                </a:lnTo>
                                <a:lnTo>
                                  <a:pt x="0" y="7571"/>
                                </a:lnTo>
                                <a:lnTo>
                                  <a:pt x="7571" y="0"/>
                                </a:lnTo>
                                <a:lnTo>
                                  <a:pt x="7571" y="15142"/>
                                </a:lnTo>
                                <a:close/>
                              </a:path>
                            </a:pathLst>
                          </a:custGeom>
                          <a:solidFill>
                            <a:srgbClr val="EDEDED"/>
                          </a:solidFill>
                        </wps:spPr>
                        <wps:bodyPr wrap="square" lIns="0" tIns="0" rIns="0" bIns="0" rtlCol="0">
                          <a:prstTxWarp prst="textNoShape">
                            <a:avLst/>
                          </a:prstTxWarp>
                          <a:noAutofit/>
                        </wps:bodyPr>
                      </wps:wsp>
                    </wpg:wgp>
                  </a:graphicData>
                </a:graphic>
              </wp:anchor>
            </w:drawing>
          </mc:Choice>
          <mc:Fallback>
            <w:pict>
              <v:group style="position:absolute;margin-left:34.46175pt;margin-top:6.731141pt;width:525.85pt;height:1.2pt;mso-position-horizontal-relative:page;mso-position-vertical-relative:paragraph;z-index:-15727104;mso-wrap-distance-left:0;mso-wrap-distance-right:0" id="docshapegroup18" coordorigin="689,135" coordsize="10517,24">
                <v:shape style="position:absolute;left:689;top:134;width:10517;height:12" id="docshape19" coordorigin="689,135" coordsize="10517,12" path="m11194,147l689,147,689,135,11206,135,11194,147xe" filled="true" fillcolor="#999999" stroked="false">
                  <v:path arrowok="t"/>
                  <v:fill type="solid"/>
                </v:shape>
                <v:shape style="position:absolute;left:689;top:146;width:10517;height:12" id="docshape20" coordorigin="689,147" coordsize="10517,12" path="m11206,158l689,158,701,147,11206,147,11206,158xe" filled="true" fillcolor="#ededed" stroked="false">
                  <v:path arrowok="t"/>
                  <v:fill type="solid"/>
                </v:shape>
                <v:shape style="position:absolute;left:689;top:134;width:12;height:24" id="docshape21" coordorigin="689,135" coordsize="12,24" path="m689,158l689,135,701,135,701,147,689,158xe" filled="true" fillcolor="#999999" stroked="false">
                  <v:path arrowok="t"/>
                  <v:fill type="solid"/>
                </v:shape>
                <v:shape style="position:absolute;left:11193;top:134;width:12;height:24" id="docshape22" coordorigin="11194,135" coordsize="12,24" path="m11206,158l11194,158,11194,147,11206,135,11206,158xe" filled="true" fillcolor="#ededed" stroked="false">
                  <v:path arrowok="t"/>
                  <v:fill type="solid"/>
                </v:shape>
                <w10:wrap type="topAndBottom"/>
              </v:group>
            </w:pict>
          </mc:Fallback>
        </mc:AlternateContent>
      </w:r>
    </w:p>
    <w:p>
      <w:pPr>
        <w:spacing w:line="249" w:lineRule="auto" w:before="197"/>
        <w:ind w:left="1530" w:right="245" w:firstLine="0"/>
        <w:jc w:val="left"/>
        <w:rPr>
          <w:sz w:val="21"/>
        </w:rPr>
      </w:pPr>
      <w:r>
        <w:rPr>
          <w:sz w:val="21"/>
        </w:rPr>
        <w:t>Documento assinado eletronicamente por </w:t>
      </w:r>
      <w:r>
        <w:rPr>
          <w:b/>
          <w:sz w:val="21"/>
        </w:rPr>
        <w:t>George Christian Linhares Bezerra</w:t>
      </w:r>
      <w:r>
        <w:rPr>
          <w:b/>
          <w:spacing w:val="-26"/>
          <w:sz w:val="21"/>
        </w:rPr>
        <w:t> </w:t>
      </w:r>
      <w:r>
        <w:rPr>
          <w:sz w:val="21"/>
        </w:rPr>
        <w:t>, </w:t>
      </w:r>
      <w:r>
        <w:rPr>
          <w:b/>
          <w:sz w:val="21"/>
        </w:rPr>
        <w:t>Conselheiro</w:t>
      </w:r>
      <w:r>
        <w:rPr>
          <w:sz w:val="21"/>
        </w:rPr>
        <w:t>, em 02/06/2026, às 12:35, conforme horário oficial de Brasília, com fundamento no art. 3°, inciso V, da Portaria nº 446/2015 do Ministério dos Transportes.</w:t>
      </w:r>
    </w:p>
    <w:p>
      <w:pPr>
        <w:pStyle w:val="BodyText"/>
        <w:spacing w:before="7"/>
        <w:ind w:left="0"/>
        <w:rPr>
          <w:sz w:val="9"/>
        </w:rPr>
      </w:pPr>
      <w:r>
        <w:rPr>
          <w:sz w:val="9"/>
        </w:rPr>
        <mc:AlternateContent>
          <mc:Choice Requires="wps">
            <w:drawing>
              <wp:anchor distT="0" distB="0" distL="0" distR="0" allowOverlap="1" layoutInCell="1" locked="0" behindDoc="1" simplePos="0" relativeHeight="487589888">
                <wp:simplePos x="0" y="0"/>
                <wp:positionH relativeFrom="page">
                  <wp:posOffset>437664</wp:posOffset>
                </wp:positionH>
                <wp:positionV relativeFrom="paragraph">
                  <wp:posOffset>85485</wp:posOffset>
                </wp:positionV>
                <wp:extent cx="6678295" cy="15240"/>
                <wp:effectExtent l="0" t="0" r="0" b="0"/>
                <wp:wrapTopAndBottom/>
                <wp:docPr id="28" name="Group 28"/>
                <wp:cNvGraphicFramePr>
                  <a:graphicFrameLocks/>
                </wp:cNvGraphicFramePr>
                <a:graphic>
                  <a:graphicData uri="http://schemas.microsoft.com/office/word/2010/wordprocessingGroup">
                    <wpg:wgp>
                      <wpg:cNvPr id="28" name="Group 28"/>
                      <wpg:cNvGrpSpPr/>
                      <wpg:grpSpPr>
                        <a:xfrm>
                          <a:off x="0" y="0"/>
                          <a:ext cx="6678295" cy="15240"/>
                          <a:chExt cx="6678295" cy="15240"/>
                        </a:xfrm>
                      </wpg:grpSpPr>
                      <wps:wsp>
                        <wps:cNvPr id="29" name="Graphic 29"/>
                        <wps:cNvSpPr/>
                        <wps:spPr>
                          <a:xfrm>
                            <a:off x="0" y="0"/>
                            <a:ext cx="6678295" cy="7620"/>
                          </a:xfrm>
                          <a:custGeom>
                            <a:avLst/>
                            <a:gdLst/>
                            <a:ahLst/>
                            <a:cxnLst/>
                            <a:rect l="l" t="t" r="r" b="b"/>
                            <a:pathLst>
                              <a:path w="6678295" h="7620">
                                <a:moveTo>
                                  <a:pt x="6670425" y="7571"/>
                                </a:moveTo>
                                <a:lnTo>
                                  <a:pt x="0" y="7571"/>
                                </a:lnTo>
                                <a:lnTo>
                                  <a:pt x="0" y="0"/>
                                </a:lnTo>
                                <a:lnTo>
                                  <a:pt x="6677996" y="0"/>
                                </a:lnTo>
                                <a:lnTo>
                                  <a:pt x="6670425" y="7571"/>
                                </a:lnTo>
                                <a:close/>
                              </a:path>
                            </a:pathLst>
                          </a:custGeom>
                          <a:solidFill>
                            <a:srgbClr val="999999"/>
                          </a:solidFill>
                        </wps:spPr>
                        <wps:bodyPr wrap="square" lIns="0" tIns="0" rIns="0" bIns="0" rtlCol="0">
                          <a:prstTxWarp prst="textNoShape">
                            <a:avLst/>
                          </a:prstTxWarp>
                          <a:noAutofit/>
                        </wps:bodyPr>
                      </wps:wsp>
                      <wps:wsp>
                        <wps:cNvPr id="30" name="Graphic 30"/>
                        <wps:cNvSpPr/>
                        <wps:spPr>
                          <a:xfrm>
                            <a:off x="0" y="7571"/>
                            <a:ext cx="6678295" cy="7620"/>
                          </a:xfrm>
                          <a:custGeom>
                            <a:avLst/>
                            <a:gdLst/>
                            <a:ahLst/>
                            <a:cxnLst/>
                            <a:rect l="l" t="t" r="r" b="b"/>
                            <a:pathLst>
                              <a:path w="6678295" h="7620">
                                <a:moveTo>
                                  <a:pt x="6677996" y="7571"/>
                                </a:moveTo>
                                <a:lnTo>
                                  <a:pt x="0" y="7571"/>
                                </a:lnTo>
                                <a:lnTo>
                                  <a:pt x="7571" y="0"/>
                                </a:lnTo>
                                <a:lnTo>
                                  <a:pt x="6677996" y="0"/>
                                </a:lnTo>
                                <a:lnTo>
                                  <a:pt x="6677996" y="7571"/>
                                </a:lnTo>
                                <a:close/>
                              </a:path>
                            </a:pathLst>
                          </a:custGeom>
                          <a:solidFill>
                            <a:srgbClr val="EDEDED"/>
                          </a:solidFill>
                        </wps:spPr>
                        <wps:bodyPr wrap="square" lIns="0" tIns="0" rIns="0" bIns="0" rtlCol="0">
                          <a:prstTxWarp prst="textNoShape">
                            <a:avLst/>
                          </a:prstTxWarp>
                          <a:noAutofit/>
                        </wps:bodyPr>
                      </wps:wsp>
                      <wps:wsp>
                        <wps:cNvPr id="31" name="Graphic 31"/>
                        <wps:cNvSpPr/>
                        <wps:spPr>
                          <a:xfrm>
                            <a:off x="0" y="0"/>
                            <a:ext cx="7620" cy="15240"/>
                          </a:xfrm>
                          <a:custGeom>
                            <a:avLst/>
                            <a:gdLst/>
                            <a:ahLst/>
                            <a:cxnLst/>
                            <a:rect l="l" t="t" r="r" b="b"/>
                            <a:pathLst>
                              <a:path w="7620" h="15240">
                                <a:moveTo>
                                  <a:pt x="0" y="15142"/>
                                </a:moveTo>
                                <a:lnTo>
                                  <a:pt x="0" y="0"/>
                                </a:lnTo>
                                <a:lnTo>
                                  <a:pt x="7571" y="0"/>
                                </a:lnTo>
                                <a:lnTo>
                                  <a:pt x="7571" y="7571"/>
                                </a:lnTo>
                                <a:lnTo>
                                  <a:pt x="0" y="15142"/>
                                </a:lnTo>
                                <a:close/>
                              </a:path>
                            </a:pathLst>
                          </a:custGeom>
                          <a:solidFill>
                            <a:srgbClr val="999999"/>
                          </a:solidFill>
                        </wps:spPr>
                        <wps:bodyPr wrap="square" lIns="0" tIns="0" rIns="0" bIns="0" rtlCol="0">
                          <a:prstTxWarp prst="textNoShape">
                            <a:avLst/>
                          </a:prstTxWarp>
                          <a:noAutofit/>
                        </wps:bodyPr>
                      </wps:wsp>
                      <wps:wsp>
                        <wps:cNvPr id="32" name="Graphic 32"/>
                        <wps:cNvSpPr/>
                        <wps:spPr>
                          <a:xfrm>
                            <a:off x="6670425" y="0"/>
                            <a:ext cx="7620" cy="15240"/>
                          </a:xfrm>
                          <a:custGeom>
                            <a:avLst/>
                            <a:gdLst/>
                            <a:ahLst/>
                            <a:cxnLst/>
                            <a:rect l="l" t="t" r="r" b="b"/>
                            <a:pathLst>
                              <a:path w="7620" h="15240">
                                <a:moveTo>
                                  <a:pt x="7571" y="15142"/>
                                </a:moveTo>
                                <a:lnTo>
                                  <a:pt x="0" y="15142"/>
                                </a:lnTo>
                                <a:lnTo>
                                  <a:pt x="0" y="7571"/>
                                </a:lnTo>
                                <a:lnTo>
                                  <a:pt x="7571" y="0"/>
                                </a:lnTo>
                                <a:lnTo>
                                  <a:pt x="7571" y="15142"/>
                                </a:lnTo>
                                <a:close/>
                              </a:path>
                            </a:pathLst>
                          </a:custGeom>
                          <a:solidFill>
                            <a:srgbClr val="EDEDED"/>
                          </a:solidFill>
                        </wps:spPr>
                        <wps:bodyPr wrap="square" lIns="0" tIns="0" rIns="0" bIns="0" rtlCol="0">
                          <a:prstTxWarp prst="textNoShape">
                            <a:avLst/>
                          </a:prstTxWarp>
                          <a:noAutofit/>
                        </wps:bodyPr>
                      </wps:wsp>
                    </wpg:wgp>
                  </a:graphicData>
                </a:graphic>
              </wp:anchor>
            </w:drawing>
          </mc:Choice>
          <mc:Fallback>
            <w:pict>
              <v:group style="position:absolute;margin-left:34.46175pt;margin-top:6.731141pt;width:525.85pt;height:1.2pt;mso-position-horizontal-relative:page;mso-position-vertical-relative:paragraph;z-index:-15726592;mso-wrap-distance-left:0;mso-wrap-distance-right:0" id="docshapegroup23" coordorigin="689,135" coordsize="10517,24">
                <v:shape style="position:absolute;left:689;top:134;width:10517;height:12" id="docshape24" coordorigin="689,135" coordsize="10517,12" path="m11194,147l689,147,689,135,11206,135,11194,147xe" filled="true" fillcolor="#999999" stroked="false">
                  <v:path arrowok="t"/>
                  <v:fill type="solid"/>
                </v:shape>
                <v:shape style="position:absolute;left:689;top:146;width:10517;height:12" id="docshape25" coordorigin="689,147" coordsize="10517,12" path="m11206,158l689,158,701,147,11206,147,11206,158xe" filled="true" fillcolor="#ededed" stroked="false">
                  <v:path arrowok="t"/>
                  <v:fill type="solid"/>
                </v:shape>
                <v:shape style="position:absolute;left:689;top:134;width:12;height:24" id="docshape26" coordorigin="689,135" coordsize="12,24" path="m689,158l689,135,701,135,701,147,689,158xe" filled="true" fillcolor="#999999" stroked="false">
                  <v:path arrowok="t"/>
                  <v:fill type="solid"/>
                </v:shape>
                <v:shape style="position:absolute;left:11193;top:134;width:12;height:24" id="docshape27" coordorigin="11194,135" coordsize="12,24" path="m11206,158l11194,158,11194,147,11206,135,11206,158xe" filled="true" fillcolor="#ededed" stroked="false">
                  <v:path arrowok="t"/>
                  <v:fill type="solid"/>
                </v:shape>
                <w10:wrap type="topAndBottom"/>
              </v:group>
            </w:pict>
          </mc:Fallback>
        </mc:AlternateContent>
      </w:r>
    </w:p>
    <w:p>
      <w:pPr>
        <w:spacing w:line="249" w:lineRule="auto" w:before="233"/>
        <w:ind w:left="1482" w:right="0" w:firstLine="0"/>
        <w:jc w:val="left"/>
        <w:rPr>
          <w:sz w:val="21"/>
        </w:rPr>
      </w:pPr>
      <w:r>
        <w:rPr>
          <w:sz w:val="21"/>
        </w:rPr>
        <w:t>A autenticidade deste documento pode ser conferida no site </w:t>
      </w:r>
      <w:r>
        <w:rPr>
          <w:spacing w:val="-2"/>
          <w:sz w:val="21"/>
        </w:rPr>
        <w:t>https://sei.transportes.gov.br/sei/controlador_externo.php? acao=documento_conferir&amp;acao_origem=documento_conferir&amp;lang=pt_BR&amp;id_orgao_acesso_externo=0,</w:t>
      </w:r>
      <w:r>
        <w:rPr>
          <w:spacing w:val="40"/>
          <w:sz w:val="21"/>
        </w:rPr>
        <w:t>  </w:t>
      </w:r>
      <w:r>
        <w:rPr>
          <w:sz w:val="21"/>
        </w:rPr>
        <w:t>informando o código verificador </w:t>
      </w:r>
      <w:r>
        <w:rPr>
          <w:b/>
          <w:sz w:val="21"/>
        </w:rPr>
        <w:t>11303494 </w:t>
      </w:r>
      <w:r>
        <w:rPr>
          <w:sz w:val="21"/>
        </w:rPr>
        <w:t>e o código CRC</w:t>
      </w:r>
      <w:r>
        <w:rPr>
          <w:spacing w:val="40"/>
          <w:sz w:val="21"/>
        </w:rPr>
        <w:t> </w:t>
      </w:r>
      <w:r>
        <w:rPr>
          <w:b/>
          <w:sz w:val="21"/>
        </w:rPr>
        <w:t>8AA97B63</w:t>
      </w:r>
      <w:r>
        <w:rPr>
          <w:sz w:val="21"/>
        </w:rPr>
        <w:t>.</w:t>
      </w:r>
    </w:p>
    <w:p>
      <w:pPr>
        <w:pStyle w:val="BodyText"/>
        <w:spacing w:before="7"/>
        <w:ind w:left="0"/>
        <w:rPr>
          <w:sz w:val="13"/>
        </w:rPr>
      </w:pPr>
      <w:r>
        <w:rPr>
          <w:sz w:val="13"/>
        </w:rPr>
        <mc:AlternateContent>
          <mc:Choice Requires="wps">
            <w:drawing>
              <wp:anchor distT="0" distB="0" distL="0" distR="0" allowOverlap="1" layoutInCell="1" locked="0" behindDoc="1" simplePos="0" relativeHeight="487590400">
                <wp:simplePos x="0" y="0"/>
                <wp:positionH relativeFrom="page">
                  <wp:posOffset>445235</wp:posOffset>
                </wp:positionH>
                <wp:positionV relativeFrom="paragraph">
                  <wp:posOffset>115152</wp:posOffset>
                </wp:positionV>
                <wp:extent cx="6663055" cy="15240"/>
                <wp:effectExtent l="0" t="0" r="0" b="0"/>
                <wp:wrapTopAndBottom/>
                <wp:docPr id="33" name="Group 33"/>
                <wp:cNvGraphicFramePr>
                  <a:graphicFrameLocks/>
                </wp:cNvGraphicFramePr>
                <a:graphic>
                  <a:graphicData uri="http://schemas.microsoft.com/office/word/2010/wordprocessingGroup">
                    <wpg:wgp>
                      <wpg:cNvPr id="33" name="Group 33"/>
                      <wpg:cNvGrpSpPr/>
                      <wpg:grpSpPr>
                        <a:xfrm>
                          <a:off x="0" y="0"/>
                          <a:ext cx="6663055" cy="15240"/>
                          <a:chExt cx="6663055" cy="15240"/>
                        </a:xfrm>
                      </wpg:grpSpPr>
                      <wps:wsp>
                        <wps:cNvPr id="34" name="Graphic 34"/>
                        <wps:cNvSpPr/>
                        <wps:spPr>
                          <a:xfrm>
                            <a:off x="0" y="0"/>
                            <a:ext cx="6663055" cy="7620"/>
                          </a:xfrm>
                          <a:custGeom>
                            <a:avLst/>
                            <a:gdLst/>
                            <a:ahLst/>
                            <a:cxnLst/>
                            <a:rect l="l" t="t" r="r" b="b"/>
                            <a:pathLst>
                              <a:path w="6663055" h="7620">
                                <a:moveTo>
                                  <a:pt x="6655282" y="7571"/>
                                </a:moveTo>
                                <a:lnTo>
                                  <a:pt x="0" y="7571"/>
                                </a:lnTo>
                                <a:lnTo>
                                  <a:pt x="0" y="0"/>
                                </a:lnTo>
                                <a:lnTo>
                                  <a:pt x="6662853" y="0"/>
                                </a:lnTo>
                                <a:lnTo>
                                  <a:pt x="6655282" y="7571"/>
                                </a:lnTo>
                                <a:close/>
                              </a:path>
                            </a:pathLst>
                          </a:custGeom>
                          <a:solidFill>
                            <a:srgbClr val="999999"/>
                          </a:solidFill>
                        </wps:spPr>
                        <wps:bodyPr wrap="square" lIns="0" tIns="0" rIns="0" bIns="0" rtlCol="0">
                          <a:prstTxWarp prst="textNoShape">
                            <a:avLst/>
                          </a:prstTxWarp>
                          <a:noAutofit/>
                        </wps:bodyPr>
                      </wps:wsp>
                      <wps:wsp>
                        <wps:cNvPr id="35" name="Graphic 35"/>
                        <wps:cNvSpPr/>
                        <wps:spPr>
                          <a:xfrm>
                            <a:off x="0" y="7571"/>
                            <a:ext cx="6663055" cy="7620"/>
                          </a:xfrm>
                          <a:custGeom>
                            <a:avLst/>
                            <a:gdLst/>
                            <a:ahLst/>
                            <a:cxnLst/>
                            <a:rect l="l" t="t" r="r" b="b"/>
                            <a:pathLst>
                              <a:path w="6663055" h="7620">
                                <a:moveTo>
                                  <a:pt x="6662853" y="7571"/>
                                </a:moveTo>
                                <a:lnTo>
                                  <a:pt x="0" y="7571"/>
                                </a:lnTo>
                                <a:lnTo>
                                  <a:pt x="7571" y="0"/>
                                </a:lnTo>
                                <a:lnTo>
                                  <a:pt x="6662853" y="0"/>
                                </a:lnTo>
                                <a:lnTo>
                                  <a:pt x="6662853" y="7571"/>
                                </a:lnTo>
                                <a:close/>
                              </a:path>
                            </a:pathLst>
                          </a:custGeom>
                          <a:solidFill>
                            <a:srgbClr val="EDEDED"/>
                          </a:solidFill>
                        </wps:spPr>
                        <wps:bodyPr wrap="square" lIns="0" tIns="0" rIns="0" bIns="0" rtlCol="0">
                          <a:prstTxWarp prst="textNoShape">
                            <a:avLst/>
                          </a:prstTxWarp>
                          <a:noAutofit/>
                        </wps:bodyPr>
                      </wps:wsp>
                      <wps:wsp>
                        <wps:cNvPr id="36" name="Graphic 36"/>
                        <wps:cNvSpPr/>
                        <wps:spPr>
                          <a:xfrm>
                            <a:off x="0" y="0"/>
                            <a:ext cx="7620" cy="15240"/>
                          </a:xfrm>
                          <a:custGeom>
                            <a:avLst/>
                            <a:gdLst/>
                            <a:ahLst/>
                            <a:cxnLst/>
                            <a:rect l="l" t="t" r="r" b="b"/>
                            <a:pathLst>
                              <a:path w="7620" h="15240">
                                <a:moveTo>
                                  <a:pt x="0" y="15142"/>
                                </a:moveTo>
                                <a:lnTo>
                                  <a:pt x="0" y="0"/>
                                </a:lnTo>
                                <a:lnTo>
                                  <a:pt x="7571" y="0"/>
                                </a:lnTo>
                                <a:lnTo>
                                  <a:pt x="7571" y="7571"/>
                                </a:lnTo>
                                <a:lnTo>
                                  <a:pt x="0" y="15142"/>
                                </a:lnTo>
                                <a:close/>
                              </a:path>
                            </a:pathLst>
                          </a:custGeom>
                          <a:solidFill>
                            <a:srgbClr val="999999"/>
                          </a:solidFill>
                        </wps:spPr>
                        <wps:bodyPr wrap="square" lIns="0" tIns="0" rIns="0" bIns="0" rtlCol="0">
                          <a:prstTxWarp prst="textNoShape">
                            <a:avLst/>
                          </a:prstTxWarp>
                          <a:noAutofit/>
                        </wps:bodyPr>
                      </wps:wsp>
                      <wps:wsp>
                        <wps:cNvPr id="37" name="Graphic 37"/>
                        <wps:cNvSpPr/>
                        <wps:spPr>
                          <a:xfrm>
                            <a:off x="6655282" y="0"/>
                            <a:ext cx="7620" cy="15240"/>
                          </a:xfrm>
                          <a:custGeom>
                            <a:avLst/>
                            <a:gdLst/>
                            <a:ahLst/>
                            <a:cxnLst/>
                            <a:rect l="l" t="t" r="r" b="b"/>
                            <a:pathLst>
                              <a:path w="7620" h="15240">
                                <a:moveTo>
                                  <a:pt x="7571" y="15142"/>
                                </a:moveTo>
                                <a:lnTo>
                                  <a:pt x="0" y="15142"/>
                                </a:lnTo>
                                <a:lnTo>
                                  <a:pt x="0" y="7571"/>
                                </a:lnTo>
                                <a:lnTo>
                                  <a:pt x="7571" y="0"/>
                                </a:lnTo>
                                <a:lnTo>
                                  <a:pt x="7571" y="15142"/>
                                </a:lnTo>
                                <a:close/>
                              </a:path>
                            </a:pathLst>
                          </a:custGeom>
                          <a:solidFill>
                            <a:srgbClr val="EDEDED"/>
                          </a:solidFill>
                        </wps:spPr>
                        <wps:bodyPr wrap="square" lIns="0" tIns="0" rIns="0" bIns="0" rtlCol="0">
                          <a:prstTxWarp prst="textNoShape">
                            <a:avLst/>
                          </a:prstTxWarp>
                          <a:noAutofit/>
                        </wps:bodyPr>
                      </wps:wsp>
                    </wpg:wgp>
                  </a:graphicData>
                </a:graphic>
              </wp:anchor>
            </w:drawing>
          </mc:Choice>
          <mc:Fallback>
            <w:pict>
              <v:group style="position:absolute;margin-left:35.057926pt;margin-top:9.067112pt;width:524.65pt;height:1.2pt;mso-position-horizontal-relative:page;mso-position-vertical-relative:paragraph;z-index:-15726080;mso-wrap-distance-left:0;mso-wrap-distance-right:0" id="docshapegroup28" coordorigin="701,181" coordsize="10493,24">
                <v:shape style="position:absolute;left:701;top:181;width:10493;height:12" id="docshape29" coordorigin="701,181" coordsize="10493,12" path="m11182,193l701,193,701,181,11194,181,11182,193xe" filled="true" fillcolor="#999999" stroked="false">
                  <v:path arrowok="t"/>
                  <v:fill type="solid"/>
                </v:shape>
                <v:shape style="position:absolute;left:701;top:193;width:10493;height:12" id="docshape30" coordorigin="701,193" coordsize="10493,12" path="m11194,205l701,205,713,193,11194,193,11194,205xe" filled="true" fillcolor="#ededed" stroked="false">
                  <v:path arrowok="t"/>
                  <v:fill type="solid"/>
                </v:shape>
                <v:shape style="position:absolute;left:701;top:181;width:12;height:24" id="docshape31" coordorigin="701,181" coordsize="12,24" path="m701,205l701,181,713,181,713,193,701,205xe" filled="true" fillcolor="#999999" stroked="false">
                  <v:path arrowok="t"/>
                  <v:fill type="solid"/>
                </v:shape>
                <v:shape style="position:absolute;left:11181;top:181;width:12;height:24" id="docshape32" coordorigin="11182,181" coordsize="12,24" path="m11194,205l11182,205,11182,193,11194,181,11194,205xe" filled="true" fillcolor="#ededed" stroked="false">
                  <v:path arrowok="t"/>
                  <v:fill type="solid"/>
                </v:shape>
                <w10:wrap type="topAndBottom"/>
              </v:group>
            </w:pict>
          </mc:Fallback>
        </mc:AlternateContent>
      </w:r>
      <w:r>
        <w:rPr>
          <w:sz w:val="13"/>
        </w:rPr>
        <mc:AlternateContent>
          <mc:Choice Requires="wps">
            <w:drawing>
              <wp:anchor distT="0" distB="0" distL="0" distR="0" allowOverlap="1" layoutInCell="1" locked="0" behindDoc="1" simplePos="0" relativeHeight="487590912">
                <wp:simplePos x="0" y="0"/>
                <wp:positionH relativeFrom="page">
                  <wp:posOffset>452807</wp:posOffset>
                </wp:positionH>
                <wp:positionV relativeFrom="paragraph">
                  <wp:posOffset>357441</wp:posOffset>
                </wp:positionV>
                <wp:extent cx="6647815" cy="309245"/>
                <wp:effectExtent l="0" t="0" r="0" b="0"/>
                <wp:wrapTopAndBottom/>
                <wp:docPr id="38" name="Group 38"/>
                <wp:cNvGraphicFramePr>
                  <a:graphicFrameLocks/>
                </wp:cNvGraphicFramePr>
                <a:graphic>
                  <a:graphicData uri="http://schemas.microsoft.com/office/word/2010/wordprocessingGroup">
                    <wpg:wgp>
                      <wpg:cNvPr id="38" name="Group 38"/>
                      <wpg:cNvGrpSpPr/>
                      <wpg:grpSpPr>
                        <a:xfrm>
                          <a:off x="0" y="0"/>
                          <a:ext cx="6647815" cy="309245"/>
                          <a:chExt cx="6647815" cy="309245"/>
                        </a:xfrm>
                      </wpg:grpSpPr>
                      <wps:wsp>
                        <wps:cNvPr id="39" name="Graphic 39"/>
                        <wps:cNvSpPr/>
                        <wps:spPr>
                          <a:xfrm>
                            <a:off x="-1" y="7"/>
                            <a:ext cx="6647815" cy="22860"/>
                          </a:xfrm>
                          <a:custGeom>
                            <a:avLst/>
                            <a:gdLst/>
                            <a:ahLst/>
                            <a:cxnLst/>
                            <a:rect l="l" t="t" r="r" b="b"/>
                            <a:pathLst>
                              <a:path w="6647815" h="22860">
                                <a:moveTo>
                                  <a:pt x="6647701" y="15138"/>
                                </a:moveTo>
                                <a:lnTo>
                                  <a:pt x="0" y="15138"/>
                                </a:lnTo>
                                <a:lnTo>
                                  <a:pt x="0" y="22707"/>
                                </a:lnTo>
                                <a:lnTo>
                                  <a:pt x="6647701" y="22707"/>
                                </a:lnTo>
                                <a:lnTo>
                                  <a:pt x="6647701" y="15138"/>
                                </a:lnTo>
                                <a:close/>
                              </a:path>
                              <a:path w="6647815" h="22860">
                                <a:moveTo>
                                  <a:pt x="6647701" y="0"/>
                                </a:moveTo>
                                <a:lnTo>
                                  <a:pt x="0" y="0"/>
                                </a:lnTo>
                                <a:lnTo>
                                  <a:pt x="0" y="7569"/>
                                </a:lnTo>
                                <a:lnTo>
                                  <a:pt x="6647701" y="7569"/>
                                </a:lnTo>
                                <a:lnTo>
                                  <a:pt x="6647701" y="0"/>
                                </a:lnTo>
                                <a:close/>
                              </a:path>
                            </a:pathLst>
                          </a:custGeom>
                          <a:solidFill>
                            <a:srgbClr val="333333"/>
                          </a:solidFill>
                        </wps:spPr>
                        <wps:bodyPr wrap="square" lIns="0" tIns="0" rIns="0" bIns="0" rtlCol="0">
                          <a:prstTxWarp prst="textNoShape">
                            <a:avLst/>
                          </a:prstTxWarp>
                          <a:noAutofit/>
                        </wps:bodyPr>
                      </wps:wsp>
                      <pic:pic>
                        <pic:nvPicPr>
                          <pic:cNvPr id="40" name="Image 40"/>
                          <pic:cNvPicPr/>
                        </pic:nvPicPr>
                        <pic:blipFill>
                          <a:blip r:embed="rId8" cstate="print"/>
                          <a:stretch>
                            <a:fillRect/>
                          </a:stretch>
                        </pic:blipFill>
                        <pic:spPr>
                          <a:xfrm>
                            <a:off x="18883" y="56529"/>
                            <a:ext cx="2322647" cy="252128"/>
                          </a:xfrm>
                          <a:prstGeom prst="rect">
                            <a:avLst/>
                          </a:prstGeom>
                        </pic:spPr>
                      </pic:pic>
                      <pic:pic>
                        <pic:nvPicPr>
                          <pic:cNvPr id="41" name="Image 41"/>
                          <pic:cNvPicPr/>
                        </pic:nvPicPr>
                        <pic:blipFill>
                          <a:blip r:embed="rId9" cstate="print"/>
                          <a:stretch>
                            <a:fillRect/>
                          </a:stretch>
                        </pic:blipFill>
                        <pic:spPr>
                          <a:xfrm>
                            <a:off x="5402155" y="56529"/>
                            <a:ext cx="1217247" cy="252128"/>
                          </a:xfrm>
                          <a:prstGeom prst="rect">
                            <a:avLst/>
                          </a:prstGeom>
                        </pic:spPr>
                      </pic:pic>
                    </wpg:wgp>
                  </a:graphicData>
                </a:graphic>
              </wp:anchor>
            </w:drawing>
          </mc:Choice>
          <mc:Fallback>
            <w:pict>
              <v:group style="position:absolute;margin-left:35.654102pt;margin-top:28.145016pt;width:523.4500pt;height:24.35pt;mso-position-horizontal-relative:page;mso-position-vertical-relative:paragraph;z-index:-15725568;mso-wrap-distance-left:0;mso-wrap-distance-right:0" id="docshapegroup33" coordorigin="713,563" coordsize="10469,487">
                <v:shape style="position:absolute;left:713;top:562;width:10469;height:36" id="docshape34" coordorigin="713,563" coordsize="10469,36" path="m11182,587l713,587,713,599,11182,599,11182,587xm11182,563l713,563,713,575,11182,575,11182,563xe" filled="true" fillcolor="#333333" stroked="false">
                  <v:path arrowok="t"/>
                  <v:fill type="solid"/>
                </v:shape>
                <v:shape style="position:absolute;left:742;top:651;width:3658;height:398" type="#_x0000_t75" id="docshape35" stroked="false">
                  <v:imagedata r:id="rId8" o:title=""/>
                </v:shape>
                <v:shape style="position:absolute;left:9220;top:651;width:1917;height:398" type="#_x0000_t75" id="docshape36" stroked="false">
                  <v:imagedata r:id="rId9" o:title=""/>
                </v:shape>
                <w10:wrap type="topAndBottom"/>
              </v:group>
            </w:pict>
          </mc:Fallback>
        </mc:AlternateContent>
      </w:r>
    </w:p>
    <w:p>
      <w:pPr>
        <w:pStyle w:val="BodyText"/>
        <w:spacing w:before="103"/>
        <w:ind w:left="0"/>
        <w:rPr>
          <w:sz w:val="20"/>
        </w:rPr>
      </w:pPr>
    </w:p>
    <w:p>
      <w:pPr>
        <w:tabs>
          <w:tab w:pos="9399" w:val="left" w:leader="none"/>
        </w:tabs>
        <w:spacing w:before="61"/>
        <w:ind w:left="147" w:right="0" w:firstLine="0"/>
        <w:jc w:val="left"/>
        <w:rPr>
          <w:sz w:val="18"/>
        </w:rPr>
      </w:pPr>
      <w:r>
        <w:rPr>
          <w:b/>
          <w:spacing w:val="-2"/>
          <w:sz w:val="18"/>
        </w:rPr>
        <w:t>Referência:</w:t>
      </w:r>
      <w:r>
        <w:rPr>
          <w:b/>
          <w:spacing w:val="7"/>
          <w:sz w:val="18"/>
        </w:rPr>
        <w:t> </w:t>
      </w:r>
      <w:r>
        <w:rPr>
          <w:spacing w:val="-2"/>
          <w:sz w:val="18"/>
        </w:rPr>
        <w:t>Processo</w:t>
      </w:r>
      <w:r>
        <w:rPr>
          <w:spacing w:val="9"/>
          <w:sz w:val="18"/>
        </w:rPr>
        <w:t> </w:t>
      </w:r>
      <w:r>
        <w:rPr>
          <w:spacing w:val="-2"/>
          <w:sz w:val="18"/>
        </w:rPr>
        <w:t>nº</w:t>
      </w:r>
      <w:r>
        <w:rPr>
          <w:spacing w:val="9"/>
          <w:sz w:val="18"/>
        </w:rPr>
        <w:t> </w:t>
      </w:r>
      <w:r>
        <w:rPr>
          <w:spacing w:val="-2"/>
          <w:sz w:val="18"/>
        </w:rPr>
        <w:t>50900.000128/2021-</w:t>
      </w:r>
      <w:r>
        <w:rPr>
          <w:spacing w:val="-5"/>
          <w:sz w:val="18"/>
        </w:rPr>
        <w:t>31</w:t>
      </w:r>
      <w:r>
        <w:rPr>
          <w:sz w:val="18"/>
        </w:rPr>
        <w:tab/>
        <w:t>SEI</w:t>
      </w:r>
      <w:r>
        <w:rPr>
          <w:spacing w:val="-5"/>
          <w:sz w:val="18"/>
        </w:rPr>
        <w:t> </w:t>
      </w:r>
      <w:r>
        <w:rPr>
          <w:sz w:val="18"/>
        </w:rPr>
        <w:t>nº</w:t>
      </w:r>
      <w:r>
        <w:rPr>
          <w:spacing w:val="-4"/>
          <w:sz w:val="18"/>
        </w:rPr>
        <w:t> </w:t>
      </w:r>
      <w:r>
        <w:rPr>
          <w:spacing w:val="-2"/>
          <w:sz w:val="18"/>
        </w:rPr>
        <w:t>11303494</w:t>
      </w:r>
    </w:p>
    <w:p>
      <w:pPr>
        <w:pStyle w:val="BodyText"/>
        <w:spacing w:before="63"/>
        <w:ind w:left="0"/>
        <w:rPr>
          <w:sz w:val="18"/>
        </w:rPr>
      </w:pPr>
    </w:p>
    <w:p>
      <w:pPr>
        <w:spacing w:line="249" w:lineRule="auto" w:before="0"/>
        <w:ind w:left="147" w:right="6095" w:firstLine="0"/>
        <w:jc w:val="left"/>
        <w:rPr>
          <w:sz w:val="18"/>
        </w:rPr>
      </w:pPr>
      <w:r>
        <w:rPr>
          <w:sz w:val="18"/>
        </w:rPr>
        <w:drawing>
          <wp:anchor distT="0" distB="0" distL="0" distR="0" allowOverlap="1" layoutInCell="1" locked="0" behindDoc="0" simplePos="0" relativeHeight="15734272">
            <wp:simplePos x="0" y="0"/>
            <wp:positionH relativeFrom="page">
              <wp:posOffset>479219</wp:posOffset>
            </wp:positionH>
            <wp:positionV relativeFrom="paragraph">
              <wp:posOffset>-1714142</wp:posOffset>
            </wp:positionV>
            <wp:extent cx="772461" cy="772461"/>
            <wp:effectExtent l="0" t="0" r="0" b="0"/>
            <wp:wrapNone/>
            <wp:docPr id="42" name="Image 42"/>
            <wp:cNvGraphicFramePr>
              <a:graphicFrameLocks/>
            </wp:cNvGraphicFramePr>
            <a:graphic>
              <a:graphicData uri="http://schemas.openxmlformats.org/drawingml/2006/picture">
                <pic:pic>
                  <pic:nvPicPr>
                    <pic:cNvPr id="42" name="Image 42"/>
                    <pic:cNvPicPr/>
                  </pic:nvPicPr>
                  <pic:blipFill>
                    <a:blip r:embed="rId10" cstate="print"/>
                    <a:stretch>
                      <a:fillRect/>
                    </a:stretch>
                  </pic:blipFill>
                  <pic:spPr>
                    <a:xfrm>
                      <a:off x="0" y="0"/>
                      <a:ext cx="772461" cy="772461"/>
                    </a:xfrm>
                    <a:prstGeom prst="rect">
                      <a:avLst/>
                    </a:prstGeom>
                  </pic:spPr>
                </pic:pic>
              </a:graphicData>
            </a:graphic>
          </wp:anchor>
        </w:drawing>
      </w:r>
      <w:r>
        <w:rPr>
          <w:sz w:val="18"/>
        </w:rPr>
        <w:t>Praça</w:t>
      </w:r>
      <w:r>
        <w:rPr>
          <w:spacing w:val="-9"/>
          <w:sz w:val="18"/>
        </w:rPr>
        <w:t> </w:t>
      </w:r>
      <w:r>
        <w:rPr>
          <w:sz w:val="18"/>
        </w:rPr>
        <w:t>Amigos</w:t>
      </w:r>
      <w:r>
        <w:rPr>
          <w:spacing w:val="-9"/>
          <w:sz w:val="18"/>
        </w:rPr>
        <w:t> </w:t>
      </w:r>
      <w:r>
        <w:rPr>
          <w:sz w:val="18"/>
        </w:rPr>
        <w:t>da</w:t>
      </w:r>
      <w:r>
        <w:rPr>
          <w:spacing w:val="-9"/>
          <w:sz w:val="18"/>
        </w:rPr>
        <w:t> </w:t>
      </w:r>
      <w:r>
        <w:rPr>
          <w:sz w:val="18"/>
        </w:rPr>
        <w:t>Marinha,</w:t>
      </w:r>
      <w:r>
        <w:rPr>
          <w:spacing w:val="-9"/>
          <w:sz w:val="18"/>
        </w:rPr>
        <w:t> </w:t>
      </w:r>
      <w:r>
        <w:rPr>
          <w:sz w:val="18"/>
        </w:rPr>
        <w:t>S/N</w:t>
      </w:r>
      <w:r>
        <w:rPr>
          <w:spacing w:val="-4"/>
          <w:sz w:val="18"/>
        </w:rPr>
        <w:t> </w:t>
      </w:r>
      <w:r>
        <w:rPr>
          <w:sz w:val="18"/>
        </w:rPr>
        <w:t>-</w:t>
      </w:r>
      <w:r>
        <w:rPr>
          <w:spacing w:val="-9"/>
          <w:sz w:val="18"/>
        </w:rPr>
        <w:t> </w:t>
      </w:r>
      <w:r>
        <w:rPr>
          <w:sz w:val="18"/>
        </w:rPr>
        <w:t>Bairro</w:t>
      </w:r>
      <w:r>
        <w:rPr>
          <w:spacing w:val="-9"/>
          <w:sz w:val="18"/>
        </w:rPr>
        <w:t> </w:t>
      </w:r>
      <w:r>
        <w:rPr>
          <w:sz w:val="18"/>
        </w:rPr>
        <w:t>Mucuripe Fortaleza/CE, CEP 60.180-422</w:t>
      </w:r>
    </w:p>
    <w:p>
      <w:pPr>
        <w:spacing w:line="206" w:lineRule="exact" w:before="0"/>
        <w:ind w:left="147" w:right="0" w:firstLine="0"/>
        <w:jc w:val="left"/>
        <w:rPr>
          <w:sz w:val="18"/>
        </w:rPr>
      </w:pPr>
      <w:r>
        <w:rPr>
          <w:sz w:val="18"/>
        </w:rPr>
        <w:t>Telefone:</w:t>
      </w:r>
      <w:r>
        <w:rPr>
          <w:spacing w:val="-9"/>
          <w:sz w:val="18"/>
        </w:rPr>
        <w:t> </w:t>
      </w:r>
      <w:r>
        <w:rPr>
          <w:sz w:val="18"/>
        </w:rPr>
        <w:t>8532668856</w:t>
      </w:r>
      <w:r>
        <w:rPr>
          <w:spacing w:val="-8"/>
          <w:sz w:val="18"/>
        </w:rPr>
        <w:t> </w:t>
      </w:r>
      <w:r>
        <w:rPr>
          <w:sz w:val="18"/>
        </w:rPr>
        <w:t>-</w:t>
      </w:r>
      <w:r>
        <w:rPr>
          <w:spacing w:val="-8"/>
          <w:sz w:val="18"/>
        </w:rPr>
        <w:t> </w:t>
      </w:r>
      <w:hyperlink r:id="rId11">
        <w:r>
          <w:rPr>
            <w:spacing w:val="-2"/>
            <w:sz w:val="18"/>
          </w:rPr>
          <w:t>http://www.docasdoceara.com.br/</w:t>
        </w:r>
      </w:hyperlink>
    </w:p>
    <w:sectPr>
      <w:pgSz w:w="11900" w:h="16840"/>
      <w:pgMar w:header="0" w:footer="181" w:top="500" w:bottom="380" w:left="566"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419904">
              <wp:simplePos x="0" y="0"/>
              <wp:positionH relativeFrom="page">
                <wp:posOffset>794639</wp:posOffset>
              </wp:positionH>
              <wp:positionV relativeFrom="page">
                <wp:posOffset>10438730</wp:posOffset>
              </wp:positionV>
              <wp:extent cx="3637915" cy="16764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637915" cy="167640"/>
                      </a:xfrm>
                      <a:prstGeom prst="rect">
                        <a:avLst/>
                      </a:prstGeom>
                    </wps:spPr>
                    <wps:txbx>
                      <w:txbxContent>
                        <w:p>
                          <w:pPr>
                            <w:spacing w:before="13"/>
                            <w:ind w:left="20" w:right="0" w:firstLine="0"/>
                            <w:jc w:val="left"/>
                            <w:rPr>
                              <w:rFonts w:ascii="Arial MT" w:hAnsi="Arial MT"/>
                              <w:sz w:val="20"/>
                            </w:rPr>
                          </w:pPr>
                          <w:r>
                            <w:rPr>
                              <w:rFonts w:ascii="Arial MT" w:hAnsi="Arial MT"/>
                              <w:color w:val="BEBEBE"/>
                              <w:sz w:val="20"/>
                            </w:rPr>
                            <w:t>Ata de Reunião 661ª Reunião Ordinária do CONFIS </w:t>
                          </w:r>
                          <w:r>
                            <w:rPr>
                              <w:rFonts w:ascii="Arial MT" w:hAnsi="Arial MT"/>
                              <w:color w:val="BEBEBE"/>
                              <w:spacing w:val="-2"/>
                              <w:sz w:val="20"/>
                            </w:rPr>
                            <w:t>(11303494)</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2.570011pt;margin-top:821.947266pt;width:286.45pt;height:13.2pt;mso-position-horizontal-relative:page;mso-position-vertical-relative:page;z-index:-15896576" type="#_x0000_t202" id="docshape1" filled="false" stroked="false">
              <v:textbox inset="0,0,0,0">
                <w:txbxContent>
                  <w:p>
                    <w:pPr>
                      <w:spacing w:before="13"/>
                      <w:ind w:left="20" w:right="0" w:firstLine="0"/>
                      <w:jc w:val="left"/>
                      <w:rPr>
                        <w:rFonts w:ascii="Arial MT" w:hAnsi="Arial MT"/>
                        <w:sz w:val="20"/>
                      </w:rPr>
                    </w:pPr>
                    <w:r>
                      <w:rPr>
                        <w:rFonts w:ascii="Arial MT" w:hAnsi="Arial MT"/>
                        <w:color w:val="BEBEBE"/>
                        <w:sz w:val="20"/>
                      </w:rPr>
                      <w:t>Ata de Reunião 661ª Reunião Ordinária do CONFIS </w:t>
                    </w:r>
                    <w:r>
                      <w:rPr>
                        <w:rFonts w:ascii="Arial MT" w:hAnsi="Arial MT"/>
                        <w:color w:val="BEBEBE"/>
                        <w:spacing w:val="-2"/>
                        <w:sz w:val="20"/>
                      </w:rPr>
                      <w:t>(11303494)</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20416">
              <wp:simplePos x="0" y="0"/>
              <wp:positionH relativeFrom="page">
                <wp:posOffset>4724446</wp:posOffset>
              </wp:positionH>
              <wp:positionV relativeFrom="page">
                <wp:posOffset>10438730</wp:posOffset>
              </wp:positionV>
              <wp:extent cx="2038350" cy="16764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038350" cy="167640"/>
                      </a:xfrm>
                      <a:prstGeom prst="rect">
                        <a:avLst/>
                      </a:prstGeom>
                    </wps:spPr>
                    <wps:txbx>
                      <w:txbxContent>
                        <w:p>
                          <w:pPr>
                            <w:spacing w:before="13"/>
                            <w:ind w:left="20" w:right="0" w:firstLine="0"/>
                            <w:jc w:val="left"/>
                            <w:rPr>
                              <w:rFonts w:ascii="Arial MT"/>
                              <w:sz w:val="20"/>
                            </w:rPr>
                          </w:pPr>
                          <w:r>
                            <w:rPr>
                              <w:rFonts w:ascii="Arial MT"/>
                              <w:color w:val="BEBEBE"/>
                              <w:sz w:val="20"/>
                            </w:rPr>
                            <w:t>SEI 50900.000128/2021-31 / pg. </w:t>
                          </w:r>
                          <w:r>
                            <w:rPr>
                              <w:rFonts w:ascii="Arial MT"/>
                              <w:color w:val="BEBEBE"/>
                              <w:spacing w:val="-5"/>
                              <w:sz w:val="20"/>
                            </w:rPr>
                            <w:fldChar w:fldCharType="begin"/>
                          </w:r>
                          <w:r>
                            <w:rPr>
                              <w:rFonts w:ascii="Arial MT"/>
                              <w:color w:val="BEBEBE"/>
                              <w:spacing w:val="-5"/>
                              <w:sz w:val="20"/>
                            </w:rPr>
                            <w:instrText> PAGE </w:instrText>
                          </w:r>
                          <w:r>
                            <w:rPr>
                              <w:rFonts w:ascii="Arial MT"/>
                              <w:color w:val="BEBEBE"/>
                              <w:spacing w:val="-5"/>
                              <w:sz w:val="20"/>
                            </w:rPr>
                            <w:fldChar w:fldCharType="separate"/>
                          </w:r>
                          <w:r>
                            <w:rPr>
                              <w:rFonts w:ascii="Arial MT"/>
                              <w:color w:val="BEBEBE"/>
                              <w:spacing w:val="-5"/>
                              <w:sz w:val="20"/>
                            </w:rPr>
                            <w:t>10</w:t>
                          </w:r>
                          <w:r>
                            <w:rPr>
                              <w:rFonts w:ascii="Arial MT"/>
                              <w:color w:val="BEBEBE"/>
                              <w:spacing w:val="-5"/>
                              <w:sz w:val="20"/>
                            </w:rPr>
                            <w:fldChar w:fldCharType="end"/>
                          </w:r>
                        </w:p>
                      </w:txbxContent>
                    </wps:txbx>
                    <wps:bodyPr wrap="square" lIns="0" tIns="0" rIns="0" bIns="0" rtlCol="0">
                      <a:noAutofit/>
                    </wps:bodyPr>
                  </wps:wsp>
                </a:graphicData>
              </a:graphic>
            </wp:anchor>
          </w:drawing>
        </mc:Choice>
        <mc:Fallback>
          <w:pict>
            <v:shape style="position:absolute;margin-left:372.003632pt;margin-top:821.947266pt;width:160.5pt;height:13.2pt;mso-position-horizontal-relative:page;mso-position-vertical-relative:page;z-index:-15896064" type="#_x0000_t202" id="docshape2" filled="false" stroked="false">
              <v:textbox inset="0,0,0,0">
                <w:txbxContent>
                  <w:p>
                    <w:pPr>
                      <w:spacing w:before="13"/>
                      <w:ind w:left="20" w:right="0" w:firstLine="0"/>
                      <w:jc w:val="left"/>
                      <w:rPr>
                        <w:rFonts w:ascii="Arial MT"/>
                        <w:sz w:val="20"/>
                      </w:rPr>
                    </w:pPr>
                    <w:r>
                      <w:rPr>
                        <w:rFonts w:ascii="Arial MT"/>
                        <w:color w:val="BEBEBE"/>
                        <w:sz w:val="20"/>
                      </w:rPr>
                      <w:t>SEI 50900.000128/2021-31 / pg. </w:t>
                    </w:r>
                    <w:r>
                      <w:rPr>
                        <w:rFonts w:ascii="Arial MT"/>
                        <w:color w:val="BEBEBE"/>
                        <w:spacing w:val="-5"/>
                        <w:sz w:val="20"/>
                      </w:rPr>
                      <w:fldChar w:fldCharType="begin"/>
                    </w:r>
                    <w:r>
                      <w:rPr>
                        <w:rFonts w:ascii="Arial MT"/>
                        <w:color w:val="BEBEBE"/>
                        <w:spacing w:val="-5"/>
                        <w:sz w:val="20"/>
                      </w:rPr>
                      <w:instrText> PAGE </w:instrText>
                    </w:r>
                    <w:r>
                      <w:rPr>
                        <w:rFonts w:ascii="Arial MT"/>
                        <w:color w:val="BEBEBE"/>
                        <w:spacing w:val="-5"/>
                        <w:sz w:val="20"/>
                      </w:rPr>
                      <w:fldChar w:fldCharType="separate"/>
                    </w:r>
                    <w:r>
                      <w:rPr>
                        <w:rFonts w:ascii="Arial MT"/>
                        <w:color w:val="BEBEBE"/>
                        <w:spacing w:val="-5"/>
                        <w:sz w:val="20"/>
                      </w:rPr>
                      <w:t>10</w:t>
                    </w:r>
                    <w:r>
                      <w:rPr>
                        <w:rFonts w:ascii="Arial MT"/>
                        <w:color w:val="BEBEBE"/>
                        <w:spacing w:val="-5"/>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480" w:hanging="239"/>
        <w:jc w:val="left"/>
      </w:pPr>
      <w:rPr>
        <w:rFonts w:hint="default" w:ascii="Times New Roman" w:hAnsi="Times New Roman" w:eastAsia="Times New Roman" w:cs="Times New Roman"/>
        <w:b/>
        <w:bCs/>
        <w:i w:val="0"/>
        <w:iCs w:val="0"/>
        <w:spacing w:val="0"/>
        <w:w w:val="99"/>
        <w:sz w:val="24"/>
        <w:szCs w:val="24"/>
        <w:lang w:val="pt-PT" w:eastAsia="en-US" w:bidi="ar-SA"/>
      </w:rPr>
    </w:lvl>
    <w:lvl w:ilvl="1">
      <w:start w:val="1"/>
      <w:numFmt w:val="decimal"/>
      <w:lvlText w:val="%1.%2"/>
      <w:lvlJc w:val="left"/>
      <w:pPr>
        <w:ind w:left="242" w:hanging="402"/>
        <w:jc w:val="left"/>
      </w:pPr>
      <w:rPr>
        <w:rFonts w:hint="default" w:ascii="Times New Roman" w:hAnsi="Times New Roman" w:eastAsia="Times New Roman" w:cs="Times New Roman"/>
        <w:b/>
        <w:bCs/>
        <w:i w:val="0"/>
        <w:iCs w:val="0"/>
        <w:spacing w:val="0"/>
        <w:w w:val="99"/>
        <w:sz w:val="24"/>
        <w:szCs w:val="24"/>
        <w:lang w:val="pt-PT" w:eastAsia="en-US" w:bidi="ar-SA"/>
      </w:rPr>
    </w:lvl>
    <w:lvl w:ilvl="2">
      <w:start w:val="0"/>
      <w:numFmt w:val="bullet"/>
      <w:lvlText w:val="•"/>
      <w:lvlJc w:val="left"/>
      <w:pPr>
        <w:ind w:left="1623" w:hanging="402"/>
      </w:pPr>
      <w:rPr>
        <w:rFonts w:hint="default"/>
        <w:lang w:val="pt-PT" w:eastAsia="en-US" w:bidi="ar-SA"/>
      </w:rPr>
    </w:lvl>
    <w:lvl w:ilvl="3">
      <w:start w:val="0"/>
      <w:numFmt w:val="bullet"/>
      <w:lvlText w:val="•"/>
      <w:lvlJc w:val="left"/>
      <w:pPr>
        <w:ind w:left="2766" w:hanging="402"/>
      </w:pPr>
      <w:rPr>
        <w:rFonts w:hint="default"/>
        <w:lang w:val="pt-PT" w:eastAsia="en-US" w:bidi="ar-SA"/>
      </w:rPr>
    </w:lvl>
    <w:lvl w:ilvl="4">
      <w:start w:val="0"/>
      <w:numFmt w:val="bullet"/>
      <w:lvlText w:val="•"/>
      <w:lvlJc w:val="left"/>
      <w:pPr>
        <w:ind w:left="3909" w:hanging="402"/>
      </w:pPr>
      <w:rPr>
        <w:rFonts w:hint="default"/>
        <w:lang w:val="pt-PT" w:eastAsia="en-US" w:bidi="ar-SA"/>
      </w:rPr>
    </w:lvl>
    <w:lvl w:ilvl="5">
      <w:start w:val="0"/>
      <w:numFmt w:val="bullet"/>
      <w:lvlText w:val="•"/>
      <w:lvlJc w:val="left"/>
      <w:pPr>
        <w:ind w:left="5052" w:hanging="402"/>
      </w:pPr>
      <w:rPr>
        <w:rFonts w:hint="default"/>
        <w:lang w:val="pt-PT" w:eastAsia="en-US" w:bidi="ar-SA"/>
      </w:rPr>
    </w:lvl>
    <w:lvl w:ilvl="6">
      <w:start w:val="0"/>
      <w:numFmt w:val="bullet"/>
      <w:lvlText w:val="•"/>
      <w:lvlJc w:val="left"/>
      <w:pPr>
        <w:ind w:left="6195" w:hanging="402"/>
      </w:pPr>
      <w:rPr>
        <w:rFonts w:hint="default"/>
        <w:lang w:val="pt-PT" w:eastAsia="en-US" w:bidi="ar-SA"/>
      </w:rPr>
    </w:lvl>
    <w:lvl w:ilvl="7">
      <w:start w:val="0"/>
      <w:numFmt w:val="bullet"/>
      <w:lvlText w:val="•"/>
      <w:lvlJc w:val="left"/>
      <w:pPr>
        <w:ind w:left="7338" w:hanging="402"/>
      </w:pPr>
      <w:rPr>
        <w:rFonts w:hint="default"/>
        <w:lang w:val="pt-PT" w:eastAsia="en-US" w:bidi="ar-SA"/>
      </w:rPr>
    </w:lvl>
    <w:lvl w:ilvl="8">
      <w:start w:val="0"/>
      <w:numFmt w:val="bullet"/>
      <w:lvlText w:val="•"/>
      <w:lvlJc w:val="left"/>
      <w:pPr>
        <w:ind w:left="8481" w:hanging="402"/>
      </w:pPr>
      <w:rPr>
        <w:rFonts w:hint="default"/>
        <w:lang w:val="pt-P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242"/>
    </w:pPr>
    <w:rPr>
      <w:rFonts w:ascii="Times New Roman" w:hAnsi="Times New Roman" w:eastAsia="Times New Roman" w:cs="Times New Roman"/>
      <w:sz w:val="24"/>
      <w:szCs w:val="24"/>
      <w:lang w:val="pt-PT" w:eastAsia="en-US" w:bidi="ar-SA"/>
    </w:rPr>
  </w:style>
  <w:style w:styleId="Heading1" w:type="paragraph">
    <w:name w:val="Heading 1"/>
    <w:basedOn w:val="Normal"/>
    <w:uiPriority w:val="1"/>
    <w:qFormat/>
    <w:pPr>
      <w:ind w:left="479" w:hanging="237"/>
      <w:outlineLvl w:val="1"/>
    </w:pPr>
    <w:rPr>
      <w:rFonts w:ascii="Times New Roman" w:hAnsi="Times New Roman" w:eastAsia="Times New Roman" w:cs="Times New Roman"/>
      <w:b/>
      <w:bCs/>
      <w:sz w:val="24"/>
      <w:szCs w:val="24"/>
      <w:lang w:val="pt-PT" w:eastAsia="en-US" w:bidi="ar-SA"/>
    </w:rPr>
  </w:style>
  <w:style w:styleId="Heading2" w:type="paragraph">
    <w:name w:val="Heading 2"/>
    <w:basedOn w:val="Normal"/>
    <w:uiPriority w:val="1"/>
    <w:qFormat/>
    <w:pPr>
      <w:ind w:left="242"/>
      <w:outlineLvl w:val="2"/>
    </w:pPr>
    <w:rPr>
      <w:rFonts w:ascii="Times New Roman" w:hAnsi="Times New Roman" w:eastAsia="Times New Roman" w:cs="Times New Roman"/>
      <w:b/>
      <w:bCs/>
      <w:sz w:val="24"/>
      <w:szCs w:val="24"/>
      <w:lang w:val="pt-PT" w:eastAsia="en-US" w:bidi="ar-SA"/>
    </w:rPr>
  </w:style>
  <w:style w:styleId="Title" w:type="paragraph">
    <w:name w:val="Title"/>
    <w:basedOn w:val="Normal"/>
    <w:uiPriority w:val="1"/>
    <w:qFormat/>
    <w:pPr>
      <w:spacing w:before="249"/>
      <w:ind w:left="1792" w:right="1535" w:firstLine="1120"/>
    </w:pPr>
    <w:rPr>
      <w:rFonts w:ascii="Times New Roman" w:hAnsi="Times New Roman" w:eastAsia="Times New Roman" w:cs="Times New Roman"/>
      <w:b/>
      <w:bCs/>
      <w:sz w:val="26"/>
      <w:szCs w:val="26"/>
      <w:lang w:val="pt-PT" w:eastAsia="en-US" w:bidi="ar-SA"/>
    </w:rPr>
  </w:style>
  <w:style w:styleId="ListParagraph" w:type="paragraph">
    <w:name w:val="List Paragraph"/>
    <w:basedOn w:val="Normal"/>
    <w:uiPriority w:val="1"/>
    <w:qFormat/>
    <w:pPr>
      <w:ind w:left="599" w:hanging="357"/>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jpe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hyperlink" Target="http://www.docasdoceara.com.br/" TargetMode="External"/><Relationship Id="rId1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PDF 50900.000128/2021-31</dc:title>
  <dcterms:created xsi:type="dcterms:W3CDTF">2026-06-10T11:47:14Z</dcterms:created>
  <dcterms:modified xsi:type="dcterms:W3CDTF">2026-06-10T11:47:14Z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2026-06-10T00:00:00Z</vt:filetime>
  </property>
  <property fmtid="{D5CDD505-2E9C-101B-9397-08002B2CF9AE}" pid="3" name="Creator">
    <vt:lpwstr>wkhtmltopdf 0.12.6</vt:lpwstr>
  </property>
  <property fmtid="{D5CDD505-2E9C-101B-9397-08002B2CF9AE}" pid="4" name="Producer">
    <vt:lpwstr>Qt 4.8.7</vt:lpwstr>
  </property>
  <property fmtid="{D5CDD505-2E9C-101B-9397-08002B2CF9AE}" pid="5" name="LastSaved">
    <vt:filetime>2026-06-10T00:00:00Z</vt:filetime>
  </property>
</Properties>
</file>