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15" w:right="16" w:firstLine="0"/>
        <w:jc w:val="center"/>
        <w:rPr>
          <w:sz w:val="26"/>
        </w:rPr>
      </w:pPr>
      <w:bookmarkStart w:name="Portaria 205 (10341922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205,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02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tabs>
          <w:tab w:pos="628" w:val="left" w:leader="none"/>
          <w:tab w:pos="1961" w:val="left" w:leader="none"/>
          <w:tab w:pos="3703" w:val="left" w:leader="none"/>
          <w:tab w:pos="4255" w:val="left" w:leader="none"/>
          <w:tab w:pos="5974" w:val="left" w:leader="none"/>
          <w:tab w:pos="7028" w:val="left" w:leader="none"/>
          <w:tab w:pos="7605" w:val="left" w:leader="none"/>
          <w:tab w:pos="8775" w:val="left" w:leader="none"/>
          <w:tab w:pos="9342" w:val="left" w:leader="none"/>
          <w:tab w:pos="10041" w:val="left" w:leader="none"/>
        </w:tabs>
        <w:spacing w:before="245"/>
        <w:ind w:left="242" w:right="247" w:firstLine="0"/>
        <w:jc w:val="left"/>
        <w:rPr>
          <w:sz w:val="24"/>
        </w:rPr>
      </w:pP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b/>
          <w:spacing w:val="-2"/>
          <w:sz w:val="24"/>
        </w:rPr>
        <w:t>DIRETOR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PRESIDENTE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COMPANHIA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DOCAS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CEARÁ,</w:t>
      </w:r>
      <w:r>
        <w:rPr>
          <w:b/>
          <w:sz w:val="24"/>
        </w:rPr>
        <w:tab/>
      </w:r>
      <w:r>
        <w:rPr>
          <w:spacing w:val="-6"/>
          <w:sz w:val="24"/>
        </w:rPr>
        <w:t>NO</w:t>
      </w:r>
      <w:r>
        <w:rPr>
          <w:sz w:val="24"/>
        </w:rPr>
        <w:tab/>
      </w:r>
      <w:r>
        <w:rPr>
          <w:spacing w:val="-4"/>
          <w:sz w:val="24"/>
        </w:rPr>
        <w:t>USO</w:t>
      </w:r>
      <w:r>
        <w:rPr>
          <w:sz w:val="24"/>
        </w:rPr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ATRIBUIÇÕES</w:t>
      </w:r>
      <w:r>
        <w:rPr>
          <w:spacing w:val="36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LHE</w:t>
      </w:r>
      <w:r>
        <w:rPr>
          <w:spacing w:val="36"/>
          <w:sz w:val="24"/>
        </w:rPr>
        <w:t> </w:t>
      </w:r>
      <w:r>
        <w:rPr>
          <w:sz w:val="24"/>
        </w:rPr>
        <w:t>CONFERE</w:t>
      </w:r>
      <w:r>
        <w:rPr>
          <w:spacing w:val="36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INCISO</w:t>
      </w:r>
      <w:r>
        <w:rPr>
          <w:spacing w:val="36"/>
          <w:sz w:val="24"/>
        </w:rPr>
        <w:t> </w:t>
      </w:r>
      <w:r>
        <w:rPr>
          <w:sz w:val="24"/>
        </w:rPr>
        <w:t>XV,</w:t>
      </w:r>
      <w:r>
        <w:rPr>
          <w:spacing w:val="36"/>
          <w:sz w:val="24"/>
        </w:rPr>
        <w:t> </w:t>
      </w:r>
      <w:r>
        <w:rPr>
          <w:sz w:val="24"/>
        </w:rPr>
        <w:t>DO ART.</w:t>
      </w:r>
      <w:r>
        <w:rPr>
          <w:spacing w:val="36"/>
          <w:sz w:val="24"/>
        </w:rPr>
        <w:t> </w:t>
      </w:r>
      <w:r>
        <w:rPr>
          <w:sz w:val="24"/>
        </w:rPr>
        <w:t>75,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ESTATUTO</w:t>
      </w:r>
      <w:r>
        <w:rPr>
          <w:spacing w:val="36"/>
          <w:sz w:val="24"/>
        </w:rPr>
        <w:t> </w:t>
      </w:r>
      <w:r>
        <w:rPr>
          <w:sz w:val="24"/>
        </w:rPr>
        <w:t>SOCIAL DA </w:t>
      </w:r>
      <w:r>
        <w:rPr>
          <w:spacing w:val="-2"/>
          <w:sz w:val="24"/>
        </w:rPr>
        <w:t>EMPRESA;</w:t>
      </w:r>
    </w:p>
    <w:p>
      <w:pPr>
        <w:pStyle w:val="BodyText"/>
        <w:spacing w:before="231"/>
        <w:rPr>
          <w:sz w:val="24"/>
        </w:rPr>
      </w:pPr>
    </w:p>
    <w:p>
      <w:pPr>
        <w:spacing w:before="0"/>
        <w:ind w:left="16" w:right="16" w:firstLine="0"/>
        <w:jc w:val="center"/>
        <w:rPr>
          <w:b/>
          <w:sz w:val="24"/>
        </w:rPr>
      </w:pPr>
      <w:r>
        <w:rPr>
          <w:b/>
          <w:sz w:val="24"/>
        </w:rPr>
        <w:t>RE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6" w:firstLine="0"/>
        <w:jc w:val="both"/>
        <w:rPr>
          <w:sz w:val="24"/>
        </w:rPr>
      </w:pPr>
      <w:r>
        <w:rPr>
          <w:b/>
          <w:sz w:val="24"/>
        </w:rPr>
        <w:t>Art. 1° - Prorrogar</w:t>
      </w:r>
      <w:r>
        <w:rPr>
          <w:sz w:val="24"/>
        </w:rPr>
        <w:t>, por 60 (sessenta) dias, o prazo de apuração da comissão de sindicância composta pelos</w:t>
      </w:r>
      <w:r>
        <w:rPr>
          <w:spacing w:val="40"/>
          <w:sz w:val="24"/>
        </w:rPr>
        <w:t> </w:t>
      </w:r>
      <w:r>
        <w:rPr>
          <w:sz w:val="24"/>
        </w:rPr>
        <w:t>empregados</w:t>
      </w:r>
      <w:r>
        <w:rPr>
          <w:spacing w:val="-8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</w:r>
      <w:r>
        <w:rPr>
          <w:spacing w:val="-6"/>
          <w:sz w:val="24"/>
        </w:rPr>
        <w:t> </w:t>
      </w:r>
      <w:r>
        <w:rPr>
          <w:b/>
          <w:sz w:val="24"/>
        </w:rPr>
        <w:t>MARCOS SÁVIO MENEZES LOURENÇO</w:t>
      </w:r>
      <w:r>
        <w:rPr>
          <w:b/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b/>
          <w:sz w:val="24"/>
        </w:rPr>
        <w:t>OSWALDO GEORGE FONTENELE</w:t>
      </w:r>
      <w:r>
        <w:rPr>
          <w:sz w:val="24"/>
        </w:rPr>
        <w:t>, que tem como finalidade apurar as responsabilidades relativas aos fatos descritos no</w:t>
      </w:r>
      <w:r>
        <w:rPr>
          <w:spacing w:val="-15"/>
          <w:sz w:val="24"/>
        </w:rPr>
        <w:t> </w:t>
      </w:r>
      <w:r>
        <w:rPr>
          <w:b/>
          <w:sz w:val="24"/>
        </w:rPr>
        <w:t>Parecer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4/2023/AUDINT-CDC/DIRPRE-CDC</w:t>
      </w:r>
      <w:r>
        <w:rPr>
          <w:b/>
          <w:spacing w:val="31"/>
          <w:sz w:val="24"/>
        </w:rPr>
        <w:t> </w:t>
      </w:r>
      <w:r>
        <w:rPr>
          <w:sz w:val="24"/>
        </w:rPr>
        <w:t>e na </w:t>
      </w:r>
      <w:r>
        <w:rPr>
          <w:b/>
          <w:sz w:val="24"/>
        </w:rPr>
        <w:t>Manifestação de Ouvidoria (SEI 6607198)</w:t>
      </w:r>
      <w:r>
        <w:rPr>
          <w:b/>
          <w:spacing w:val="-2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Processo SEI nº 50900.000115/2022-21)</w:t>
      </w:r>
      <w:r>
        <w:rPr>
          <w:sz w:val="24"/>
        </w:rPr>
        <w:t>, convalidando todos os atos praticados no período compreendido desde a edição da Portaria 28/2025.</w:t>
      </w:r>
    </w:p>
    <w:p>
      <w:pPr>
        <w:spacing w:before="109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spacing w:before="225"/>
        <w:rPr>
          <w:sz w:val="24"/>
        </w:rPr>
      </w:pPr>
    </w:p>
    <w:p>
      <w:pPr>
        <w:spacing w:before="0"/>
        <w:ind w:left="0" w:right="16" w:firstLine="0"/>
        <w:jc w:val="center"/>
        <w:rPr>
          <w:b/>
          <w:sz w:val="21"/>
        </w:rPr>
      </w:pPr>
      <w:r>
        <w:rPr>
          <w:b/>
          <w:sz w:val="21"/>
        </w:rPr>
        <w:t>LUCIO</w:t>
      </w:r>
      <w:r>
        <w:rPr>
          <w:b/>
          <w:spacing w:val="13"/>
          <w:sz w:val="21"/>
        </w:rPr>
        <w:t> </w:t>
      </w:r>
      <w:r>
        <w:rPr>
          <w:b/>
          <w:sz w:val="21"/>
        </w:rPr>
        <w:t>FERREIRA</w:t>
      </w:r>
      <w:r>
        <w:rPr>
          <w:b/>
          <w:spacing w:val="12"/>
          <w:sz w:val="21"/>
        </w:rPr>
        <w:t> </w:t>
      </w:r>
      <w:r>
        <w:rPr>
          <w:b/>
          <w:spacing w:val="-2"/>
          <w:sz w:val="21"/>
        </w:rPr>
        <w:t>GOMES</w:t>
      </w:r>
    </w:p>
    <w:p>
      <w:pPr>
        <w:spacing w:before="9"/>
        <w:ind w:left="6" w:right="16" w:firstLine="0"/>
        <w:jc w:val="center"/>
        <w:rPr>
          <w:b/>
          <w:sz w:val="21"/>
        </w:rPr>
      </w:pPr>
      <w:r>
        <w:rPr>
          <w:b/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562027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1"/>
        </w:rPr>
        <w:t>Diretor</w:t>
      </w:r>
      <w:r>
        <w:rPr>
          <w:b/>
          <w:spacing w:val="9"/>
          <w:sz w:val="21"/>
        </w:rPr>
        <w:t> </w:t>
      </w:r>
      <w:r>
        <w:rPr>
          <w:b/>
          <w:spacing w:val="-2"/>
          <w:sz w:val="21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181221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269406pt;width:525.85pt;height:1.2pt;mso-position-horizontal-relative:page;mso-position-vertical-relative:paragraph;z-index:-15728640;mso-wrap-distance-left:0;mso-wrap-distance-right:0" id="docshapegroup4" coordorigin="689,285" coordsize="10517,24">
                <v:shape style="position:absolute;left:689;top:285;width:10517;height:12" id="docshape5" coordorigin="689,285" coordsize="10517,12" path="m11194,297l689,297,689,285,11206,285,11194,297xe" filled="true" fillcolor="#999999" stroked="false">
                  <v:path arrowok="t"/>
                  <v:fill type="solid"/>
                </v:shape>
                <v:shape style="position:absolute;left:689;top:297;width:10517;height:12" id="docshape6" coordorigin="689,297" coordsize="10517,12" path="m11206,309l689,309,701,297,11206,297,11206,309xe" filled="true" fillcolor="#ededed" stroked="false">
                  <v:path arrowok="t"/>
                  <v:fill type="solid"/>
                </v:shape>
                <v:shape style="position:absolute;left:689;top:285;width:12;height:24" id="docshape7" coordorigin="689,285" coordsize="12,24" path="m689,309l689,285,701,285,701,297,689,309xe" filled="true" fillcolor="#999999" stroked="false">
                  <v:path arrowok="t"/>
                  <v:fill type="solid"/>
                </v:shape>
                <v:shape style="position:absolute;left:11193;top:285;width:12;height:24" id="docshape8" coordorigin="11194,285" coordsize="12,24" path="m11206,309l11194,309,11194,297,11206,285,11206,309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04/10/2025,</w:t>
      </w:r>
      <w:r>
        <w:rPr>
          <w:spacing w:val="40"/>
        </w:rPr>
        <w:t> </w:t>
      </w:r>
      <w:r>
        <w:rPr/>
        <w:t>às 14:00,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10341922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18BDB36F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9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10341922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205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(10341922)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205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(10341922)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2025-11-03T17:58:09Z</dcterms:created>
  <dcterms:modified xsi:type="dcterms:W3CDTF">2025-11-03T17:58:09Z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2025-10-14T00:00:00Z</vt:filetime>
  </property>
</Properties>
</file>