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1"/>
        </w:rPr>
      </w:pPr>
    </w:p>
    <w:p>
      <w:pPr>
        <w:pStyle w:val="BodyText"/>
        <w:ind w:left="40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70875" cy="106413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875" cy="10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52" w:lineRule="auto" w:before="76"/>
        <w:ind w:left="3779" w:right="3843" w:firstLine="0"/>
        <w:jc w:val="center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COMPANHIA</w:t>
      </w:r>
      <w:r>
        <w:rPr>
          <w:rFonts w:ascii="Calibri" w:hAnsi="Calibri"/>
          <w:spacing w:val="1"/>
          <w:sz w:val="25"/>
        </w:rPr>
        <w:t> </w:t>
      </w:r>
      <w:r>
        <w:rPr>
          <w:rFonts w:ascii="Calibri" w:hAnsi="Calibri"/>
          <w:sz w:val="25"/>
        </w:rPr>
        <w:t>DOCAS</w:t>
      </w:r>
      <w:r>
        <w:rPr>
          <w:rFonts w:ascii="Calibri" w:hAnsi="Calibri"/>
          <w:spacing w:val="1"/>
          <w:sz w:val="25"/>
        </w:rPr>
        <w:t> </w:t>
      </w:r>
      <w:r>
        <w:rPr>
          <w:rFonts w:ascii="Calibri" w:hAnsi="Calibri"/>
          <w:sz w:val="25"/>
        </w:rPr>
        <w:t>DO</w:t>
      </w:r>
      <w:r>
        <w:rPr>
          <w:rFonts w:ascii="Calibri" w:hAnsi="Calibri"/>
          <w:spacing w:val="2"/>
          <w:sz w:val="25"/>
        </w:rPr>
        <w:t> </w:t>
      </w:r>
      <w:r>
        <w:rPr>
          <w:rFonts w:ascii="Calibri" w:hAnsi="Calibri"/>
          <w:sz w:val="25"/>
        </w:rPr>
        <w:t>CEARÁ</w:t>
      </w:r>
      <w:r>
        <w:rPr>
          <w:rFonts w:ascii="Calibri" w:hAnsi="Calibri"/>
          <w:spacing w:val="-54"/>
          <w:sz w:val="25"/>
        </w:rPr>
        <w:t> </w:t>
      </w:r>
      <w:r>
        <w:rPr>
          <w:rFonts w:ascii="Calibri" w:hAnsi="Calibri"/>
          <w:sz w:val="25"/>
        </w:rPr>
        <w:t>DIRETORIA</w:t>
      </w:r>
      <w:r>
        <w:rPr>
          <w:rFonts w:ascii="Calibri" w:hAnsi="Calibri"/>
          <w:spacing w:val="3"/>
          <w:sz w:val="25"/>
        </w:rPr>
        <w:t> </w:t>
      </w:r>
      <w:r>
        <w:rPr>
          <w:rFonts w:ascii="Calibri" w:hAnsi="Calibri"/>
          <w:sz w:val="25"/>
        </w:rPr>
        <w:t>DA</w:t>
      </w:r>
      <w:r>
        <w:rPr>
          <w:rFonts w:ascii="Calibri" w:hAnsi="Calibri"/>
          <w:spacing w:val="3"/>
          <w:sz w:val="25"/>
        </w:rPr>
        <w:t> </w:t>
      </w:r>
      <w:r>
        <w:rPr>
          <w:rFonts w:ascii="Calibri" w:hAnsi="Calibri"/>
          <w:sz w:val="25"/>
        </w:rPr>
        <w:t>PRESIDÊNCIA</w:t>
      </w:r>
    </w:p>
    <w:p>
      <w:pPr>
        <w:spacing w:before="3"/>
        <w:ind w:left="3177" w:right="3240" w:firstLine="0"/>
        <w:jc w:val="center"/>
        <w:rPr>
          <w:rFonts w:ascii="Calibri"/>
          <w:sz w:val="25"/>
        </w:rPr>
      </w:pPr>
      <w:r>
        <w:rPr>
          <w:rFonts w:ascii="Calibri"/>
          <w:sz w:val="25"/>
        </w:rPr>
        <w:t>COORDENADORIA</w:t>
      </w:r>
      <w:r>
        <w:rPr>
          <w:rFonts w:ascii="Calibri"/>
          <w:spacing w:val="10"/>
          <w:sz w:val="25"/>
        </w:rPr>
        <w:t> </w:t>
      </w:r>
      <w:r>
        <w:rPr>
          <w:rFonts w:ascii="Calibri"/>
          <w:sz w:val="25"/>
        </w:rPr>
        <w:t>DE</w:t>
      </w:r>
      <w:r>
        <w:rPr>
          <w:rFonts w:ascii="Calibri"/>
          <w:spacing w:val="10"/>
          <w:sz w:val="25"/>
        </w:rPr>
        <w:t> </w:t>
      </w:r>
      <w:r>
        <w:rPr>
          <w:rFonts w:ascii="Calibri"/>
          <w:sz w:val="25"/>
        </w:rPr>
        <w:t>AUDITORIA</w:t>
      </w:r>
      <w:r>
        <w:rPr>
          <w:rFonts w:ascii="Calibri"/>
          <w:spacing w:val="10"/>
          <w:sz w:val="25"/>
        </w:rPr>
        <w:t> </w:t>
      </w:r>
      <w:r>
        <w:rPr>
          <w:rFonts w:ascii="Calibri"/>
          <w:sz w:val="25"/>
        </w:rPr>
        <w:t>INTERNA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pStyle w:val="Title"/>
      </w:pPr>
      <w:r>
        <w:rPr/>
        <w:t>RELATÓRIO</w:t>
      </w:r>
      <w:r>
        <w:rPr>
          <w:spacing w:val="4"/>
        </w:rPr>
        <w:t> </w:t>
      </w:r>
      <w:r>
        <w:rPr/>
        <w:t>CORREICIONAL</w:t>
      </w:r>
      <w:r>
        <w:rPr>
          <w:spacing w:val="4"/>
        </w:rPr>
        <w:t> </w:t>
      </w:r>
      <w:r>
        <w:rPr/>
        <w:t>09</w:t>
      </w:r>
    </w:p>
    <w:p>
      <w:pPr>
        <w:pStyle w:val="BodyText"/>
        <w:spacing w:before="1"/>
        <w:rPr>
          <w:rFonts w:ascii="Calibri"/>
          <w:b/>
          <w:sz w:val="22"/>
        </w:rPr>
      </w:pPr>
    </w:p>
    <w:p>
      <w:pPr>
        <w:spacing w:before="0"/>
        <w:ind w:left="7153" w:right="0" w:firstLine="0"/>
        <w:jc w:val="left"/>
        <w:rPr>
          <w:rFonts w:ascii="Calibri"/>
          <w:sz w:val="23"/>
        </w:rPr>
      </w:pPr>
      <w:r>
        <w:rPr>
          <w:rFonts w:ascii="Calibri"/>
          <w:sz w:val="23"/>
        </w:rPr>
        <w:t>Fortaleza,</w:t>
      </w:r>
      <w:r>
        <w:rPr>
          <w:rFonts w:ascii="Calibri"/>
          <w:spacing w:val="4"/>
          <w:sz w:val="23"/>
        </w:rPr>
        <w:t> </w:t>
      </w:r>
      <w:r>
        <w:rPr>
          <w:rFonts w:ascii="Calibri"/>
          <w:sz w:val="23"/>
        </w:rPr>
        <w:t>01</w:t>
      </w:r>
      <w:r>
        <w:rPr>
          <w:rFonts w:ascii="Calibri"/>
          <w:spacing w:val="4"/>
          <w:sz w:val="23"/>
        </w:rPr>
        <w:t> </w:t>
      </w:r>
      <w:r>
        <w:rPr>
          <w:rFonts w:ascii="Calibri"/>
          <w:sz w:val="23"/>
        </w:rPr>
        <w:t>de</w:t>
      </w:r>
      <w:r>
        <w:rPr>
          <w:rFonts w:ascii="Calibri"/>
          <w:spacing w:val="5"/>
          <w:sz w:val="23"/>
        </w:rPr>
        <w:t> </w:t>
      </w:r>
      <w:r>
        <w:rPr>
          <w:rFonts w:ascii="Calibri"/>
          <w:sz w:val="23"/>
        </w:rPr>
        <w:t>dezembro</w:t>
      </w:r>
      <w:r>
        <w:rPr>
          <w:rFonts w:ascii="Calibri"/>
          <w:spacing w:val="4"/>
          <w:sz w:val="23"/>
        </w:rPr>
        <w:t> </w:t>
      </w:r>
      <w:r>
        <w:rPr>
          <w:rFonts w:ascii="Calibri"/>
          <w:sz w:val="23"/>
        </w:rPr>
        <w:t>de</w:t>
      </w:r>
      <w:r>
        <w:rPr>
          <w:rFonts w:ascii="Calibri"/>
          <w:spacing w:val="4"/>
          <w:sz w:val="23"/>
        </w:rPr>
        <w:t> </w:t>
      </w:r>
      <w:r>
        <w:rPr>
          <w:rFonts w:ascii="Calibri"/>
          <w:sz w:val="23"/>
        </w:rPr>
        <w:t>2023.</w:t>
      </w:r>
    </w:p>
    <w:p>
      <w:pPr>
        <w:pStyle w:val="BodyText"/>
        <w:rPr>
          <w:rFonts w:ascii="Calibri"/>
          <w:sz w:val="22"/>
        </w:rPr>
      </w:pPr>
    </w:p>
    <w:p>
      <w:pPr>
        <w:spacing w:before="190"/>
        <w:ind w:left="112" w:right="0" w:firstLine="0"/>
        <w:jc w:val="left"/>
        <w:rPr>
          <w:b/>
          <w:sz w:val="21"/>
        </w:rPr>
      </w:pPr>
      <w:r>
        <w:rPr>
          <w:b/>
          <w:sz w:val="21"/>
        </w:rPr>
        <w:t>Relatório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trimestral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sobre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processos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Sistema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Interno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Correição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CDC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09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Heading2"/>
        <w:numPr>
          <w:ilvl w:val="0"/>
          <w:numId w:val="1"/>
        </w:numPr>
        <w:tabs>
          <w:tab w:pos="712" w:val="left" w:leader="none"/>
        </w:tabs>
        <w:spacing w:line="240" w:lineRule="auto" w:before="0" w:after="0"/>
        <w:ind w:left="711" w:right="0" w:hanging="249"/>
        <w:jc w:val="left"/>
      </w:pPr>
      <w:r>
        <w:rPr>
          <w:w w:val="105"/>
        </w:rPr>
        <w:t>Histórico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line="304" w:lineRule="auto"/>
        <w:ind w:left="214" w:right="292" w:firstLine="687"/>
        <w:jc w:val="both"/>
      </w:pPr>
      <w:r>
        <w:rPr>
          <w:w w:val="105"/>
        </w:rPr>
        <w:t>A norma interna da CDC que trata do Sistema Interno de Correição da empresa foi aprovada em DIREXE,</w:t>
      </w:r>
      <w:r>
        <w:rPr>
          <w:spacing w:val="1"/>
          <w:w w:val="105"/>
        </w:rPr>
        <w:t> </w:t>
      </w:r>
      <w:r>
        <w:rPr>
          <w:w w:val="105"/>
        </w:rPr>
        <w:t>através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Decisão</w:t>
      </w:r>
      <w:r>
        <w:rPr>
          <w:spacing w:val="-7"/>
          <w:w w:val="105"/>
        </w:rPr>
        <w:t> </w:t>
      </w:r>
      <w:r>
        <w:rPr>
          <w:w w:val="105"/>
        </w:rPr>
        <w:t>80/21,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21/07/2021,</w:t>
      </w:r>
      <w:r>
        <w:rPr>
          <w:spacing w:val="-7"/>
          <w:w w:val="105"/>
        </w:rPr>
        <w:t> </w:t>
      </w:r>
      <w:r>
        <w:rPr>
          <w:w w:val="105"/>
        </w:rPr>
        <w:t>e,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CONSAD,</w:t>
      </w:r>
      <w:r>
        <w:rPr>
          <w:spacing w:val="-7"/>
          <w:w w:val="105"/>
        </w:rPr>
        <w:t> </w:t>
      </w:r>
      <w:r>
        <w:rPr>
          <w:w w:val="105"/>
        </w:rPr>
        <w:t>através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Resolução</w:t>
      </w:r>
      <w:r>
        <w:rPr>
          <w:spacing w:val="-7"/>
          <w:w w:val="105"/>
        </w:rPr>
        <w:t> </w:t>
      </w:r>
      <w:r>
        <w:rPr>
          <w:w w:val="105"/>
        </w:rPr>
        <w:t>15/21,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29/07/2021.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04" w:lineRule="auto"/>
        <w:ind w:left="214" w:right="276" w:firstLine="687"/>
        <w:jc w:val="both"/>
      </w:pPr>
      <w:r>
        <w:rPr>
          <w:w w:val="105"/>
        </w:rPr>
        <w:t>No art. 93 da referida norma, constou que “Para as sindicâncias disciplinares atualmente em andamento, a</w:t>
      </w:r>
      <w:r>
        <w:rPr>
          <w:spacing w:val="-60"/>
          <w:w w:val="105"/>
        </w:rPr>
        <w:t> </w:t>
      </w:r>
      <w:r>
        <w:rPr>
          <w:w w:val="105"/>
        </w:rPr>
        <w:t>norma entrará em vigor em 45 (quarenta e cinco) dias contados da data de sua aprovação pela DIREXE, ficando</w:t>
      </w:r>
      <w:r>
        <w:rPr>
          <w:spacing w:val="1"/>
          <w:w w:val="105"/>
        </w:rPr>
        <w:t> </w:t>
      </w:r>
      <w:r>
        <w:rPr>
          <w:w w:val="105"/>
        </w:rPr>
        <w:t>esta em vacatio legis durante este período para estes casos. Parágrafo único. Nos casos previstos no caput, o</w:t>
      </w:r>
      <w:r>
        <w:rPr>
          <w:spacing w:val="1"/>
          <w:w w:val="105"/>
        </w:rPr>
        <w:t> </w:t>
      </w:r>
      <w:r>
        <w:rPr>
          <w:w w:val="105"/>
        </w:rPr>
        <w:t>Presidente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Comissão</w:t>
      </w:r>
      <w:r>
        <w:rPr>
          <w:spacing w:val="-4"/>
          <w:w w:val="105"/>
        </w:rPr>
        <w:t> </w:t>
      </w:r>
      <w:r>
        <w:rPr>
          <w:w w:val="105"/>
        </w:rPr>
        <w:t>deverá</w:t>
      </w:r>
      <w:r>
        <w:rPr>
          <w:spacing w:val="-5"/>
          <w:w w:val="105"/>
        </w:rPr>
        <w:t> </w:t>
      </w:r>
      <w:r>
        <w:rPr>
          <w:w w:val="105"/>
        </w:rPr>
        <w:t>apresentar</w:t>
      </w:r>
      <w:r>
        <w:rPr>
          <w:spacing w:val="-4"/>
          <w:w w:val="105"/>
        </w:rPr>
        <w:t> </w:t>
      </w:r>
      <w:r>
        <w:rPr>
          <w:w w:val="105"/>
        </w:rPr>
        <w:t>justificativa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não</w:t>
      </w:r>
      <w:r>
        <w:rPr>
          <w:spacing w:val="-4"/>
          <w:w w:val="105"/>
        </w:rPr>
        <w:t> </w:t>
      </w:r>
      <w:r>
        <w:rPr>
          <w:w w:val="105"/>
        </w:rPr>
        <w:t>conclusão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relatar,</w:t>
      </w:r>
      <w:r>
        <w:rPr>
          <w:spacing w:val="-4"/>
          <w:w w:val="105"/>
        </w:rPr>
        <w:t> </w:t>
      </w:r>
      <w:r>
        <w:rPr>
          <w:w w:val="105"/>
        </w:rPr>
        <w:t>ao</w:t>
      </w:r>
      <w:r>
        <w:rPr>
          <w:spacing w:val="-4"/>
          <w:w w:val="105"/>
        </w:rPr>
        <w:t> </w:t>
      </w:r>
      <w:r>
        <w:rPr>
          <w:w w:val="105"/>
        </w:rPr>
        <w:t>final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prazo,</w:t>
      </w:r>
      <w:r>
        <w:rPr>
          <w:spacing w:val="-4"/>
          <w:w w:val="105"/>
        </w:rPr>
        <w:t> </w:t>
      </w:r>
      <w:r>
        <w:rPr>
          <w:w w:val="105"/>
        </w:rPr>
        <w:t>quais</w:t>
      </w:r>
      <w:r>
        <w:rPr>
          <w:spacing w:val="-5"/>
          <w:w w:val="105"/>
        </w:rPr>
        <w:t> </w:t>
      </w:r>
      <w:r>
        <w:rPr>
          <w:w w:val="105"/>
        </w:rPr>
        <w:t>atos</w:t>
      </w:r>
      <w:r>
        <w:rPr>
          <w:spacing w:val="-60"/>
          <w:w w:val="105"/>
        </w:rPr>
        <w:t> </w:t>
      </w:r>
      <w:r>
        <w:rPr>
          <w:w w:val="105"/>
        </w:rPr>
        <w:t>praticados antes da vigência deste normativo serão válidos e aproveitados no processo punitivo, quando não</w:t>
      </w:r>
      <w:r>
        <w:rPr>
          <w:spacing w:val="1"/>
          <w:w w:val="105"/>
        </w:rPr>
        <w:t> </w:t>
      </w:r>
      <w:r>
        <w:rPr>
          <w:w w:val="105"/>
        </w:rPr>
        <w:t>conflitantes</w:t>
      </w:r>
      <w:r>
        <w:rPr>
          <w:spacing w:val="-3"/>
          <w:w w:val="105"/>
        </w:rPr>
        <w:t> </w:t>
      </w:r>
      <w:r>
        <w:rPr>
          <w:w w:val="105"/>
        </w:rPr>
        <w:t>com</w:t>
      </w:r>
      <w:r>
        <w:rPr>
          <w:spacing w:val="-2"/>
          <w:w w:val="105"/>
        </w:rPr>
        <w:t> </w:t>
      </w:r>
      <w:r>
        <w:rPr>
          <w:w w:val="105"/>
        </w:rPr>
        <w:t>esta</w:t>
      </w:r>
      <w:r>
        <w:rPr>
          <w:spacing w:val="-3"/>
          <w:w w:val="105"/>
        </w:rPr>
        <w:t> </w:t>
      </w:r>
      <w:r>
        <w:rPr>
          <w:w w:val="105"/>
        </w:rPr>
        <w:t>norma”.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04" w:lineRule="auto"/>
        <w:ind w:left="214" w:right="277" w:firstLine="687"/>
        <w:jc w:val="both"/>
      </w:pPr>
      <w:r>
        <w:rPr>
          <w:w w:val="105"/>
        </w:rPr>
        <w:t>Através da Decisão DIREXE 103/2021, a CDC resolveu, com base no Comunicado CODJUR 35/2021,</w:t>
      </w:r>
      <w:r>
        <w:rPr>
          <w:spacing w:val="1"/>
          <w:w w:val="105"/>
        </w:rPr>
        <w:t> </w:t>
      </w:r>
      <w:r>
        <w:rPr>
          <w:w w:val="105"/>
        </w:rPr>
        <w:t>prorrogar o prazo de conclusão dos trabalhos das comissões de sindicância de 45 dias para 75 dias, contados da</w:t>
      </w:r>
      <w:r>
        <w:rPr>
          <w:spacing w:val="1"/>
          <w:w w:val="105"/>
        </w:rPr>
        <w:t> </w:t>
      </w:r>
      <w:r>
        <w:rPr>
          <w:w w:val="105"/>
        </w:rPr>
        <w:t>data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aprovação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Norma</w:t>
      </w:r>
      <w:r>
        <w:rPr>
          <w:spacing w:val="-10"/>
          <w:w w:val="105"/>
        </w:rPr>
        <w:t> </w:t>
      </w:r>
      <w:r>
        <w:rPr>
          <w:w w:val="105"/>
        </w:rPr>
        <w:t>pela</w:t>
      </w:r>
      <w:r>
        <w:rPr>
          <w:spacing w:val="-10"/>
          <w:w w:val="105"/>
        </w:rPr>
        <w:t> </w:t>
      </w:r>
      <w:r>
        <w:rPr>
          <w:w w:val="105"/>
        </w:rPr>
        <w:t>DIREXE</w:t>
      </w:r>
      <w:r>
        <w:rPr>
          <w:spacing w:val="-10"/>
          <w:w w:val="105"/>
        </w:rPr>
        <w:t> </w:t>
      </w:r>
      <w:r>
        <w:rPr>
          <w:w w:val="105"/>
        </w:rPr>
        <w:t>(21/07/2021),</w:t>
      </w:r>
      <w:r>
        <w:rPr>
          <w:spacing w:val="-10"/>
          <w:w w:val="105"/>
        </w:rPr>
        <w:t> </w:t>
      </w:r>
      <w:r>
        <w:rPr>
          <w:w w:val="105"/>
        </w:rPr>
        <w:t>através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alteração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art.</w:t>
      </w:r>
      <w:r>
        <w:rPr>
          <w:spacing w:val="-10"/>
          <w:w w:val="105"/>
        </w:rPr>
        <w:t> </w:t>
      </w:r>
      <w:r>
        <w:rPr>
          <w:w w:val="105"/>
        </w:rPr>
        <w:t>93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referido</w:t>
      </w:r>
      <w:r>
        <w:rPr>
          <w:spacing w:val="-10"/>
          <w:w w:val="105"/>
        </w:rPr>
        <w:t> </w:t>
      </w:r>
      <w:r>
        <w:rPr>
          <w:w w:val="105"/>
        </w:rPr>
        <w:t>regramento.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04" w:lineRule="auto"/>
        <w:ind w:left="214" w:right="277" w:firstLine="687"/>
        <w:jc w:val="both"/>
      </w:pPr>
      <w:r>
        <w:rPr>
          <w:w w:val="105"/>
        </w:rPr>
        <w:t>Desta</w:t>
      </w:r>
      <w:r>
        <w:rPr>
          <w:spacing w:val="-1"/>
          <w:w w:val="105"/>
        </w:rPr>
        <w:t> </w:t>
      </w:r>
      <w:r>
        <w:rPr>
          <w:w w:val="105"/>
        </w:rPr>
        <w:t>forma,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partir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21/07/2021,</w:t>
      </w:r>
      <w:r>
        <w:rPr>
          <w:spacing w:val="-1"/>
          <w:w w:val="105"/>
        </w:rPr>
        <w:t> </w:t>
      </w:r>
      <w:r>
        <w:rPr>
          <w:w w:val="105"/>
        </w:rPr>
        <w:t>com</w:t>
      </w:r>
      <w:r>
        <w:rPr>
          <w:spacing w:val="-1"/>
          <w:w w:val="105"/>
        </w:rPr>
        <w:t> </w:t>
      </w:r>
      <w:r>
        <w:rPr>
          <w:w w:val="105"/>
        </w:rPr>
        <w:t>base na</w:t>
      </w:r>
      <w:r>
        <w:rPr>
          <w:spacing w:val="-1"/>
          <w:w w:val="105"/>
        </w:rPr>
        <w:t> </w:t>
      </w:r>
      <w:r>
        <w:rPr>
          <w:w w:val="105"/>
        </w:rPr>
        <w:t>norma</w:t>
      </w:r>
      <w:r>
        <w:rPr>
          <w:spacing w:val="-1"/>
          <w:w w:val="105"/>
        </w:rPr>
        <w:t> </w:t>
      </w:r>
      <w:r>
        <w:rPr>
          <w:w w:val="105"/>
        </w:rPr>
        <w:t>interna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CDC,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trata</w:t>
      </w:r>
      <w:r>
        <w:rPr>
          <w:spacing w:val="-1"/>
          <w:w w:val="105"/>
        </w:rPr>
        <w:t> </w:t>
      </w:r>
      <w:r>
        <w:rPr>
          <w:w w:val="105"/>
        </w:rPr>
        <w:t>do Sistema</w:t>
      </w:r>
      <w:r>
        <w:rPr>
          <w:spacing w:val="-1"/>
          <w:w w:val="105"/>
        </w:rPr>
        <w:t> </w:t>
      </w:r>
      <w:r>
        <w:rPr>
          <w:w w:val="105"/>
        </w:rPr>
        <w:t>Interno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61"/>
          <w:w w:val="105"/>
        </w:rPr>
        <w:t> </w:t>
      </w:r>
      <w:r>
        <w:rPr>
          <w:w w:val="105"/>
        </w:rPr>
        <w:t>Correição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empresa,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AUDINT</w:t>
      </w:r>
      <w:r>
        <w:rPr>
          <w:spacing w:val="-3"/>
          <w:w w:val="105"/>
        </w:rPr>
        <w:t> </w:t>
      </w:r>
      <w:r>
        <w:rPr>
          <w:w w:val="105"/>
        </w:rPr>
        <w:t>passou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acompanhar</w:t>
      </w:r>
      <w:r>
        <w:rPr>
          <w:spacing w:val="-3"/>
          <w:w w:val="105"/>
        </w:rPr>
        <w:t> </w:t>
      </w:r>
      <w:r>
        <w:rPr>
          <w:w w:val="105"/>
        </w:rPr>
        <w:t>os</w:t>
      </w:r>
      <w:r>
        <w:rPr>
          <w:spacing w:val="-3"/>
          <w:w w:val="105"/>
        </w:rPr>
        <w:t> </w:t>
      </w:r>
      <w:r>
        <w:rPr>
          <w:w w:val="105"/>
        </w:rPr>
        <w:t>prazos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comissões</w:t>
      </w:r>
      <w:r>
        <w:rPr>
          <w:spacing w:val="-3"/>
          <w:w w:val="105"/>
        </w:rPr>
        <w:t> </w:t>
      </w:r>
      <w:r>
        <w:rPr>
          <w:w w:val="105"/>
        </w:rPr>
        <w:t>apuratórias,</w:t>
      </w:r>
      <w:r>
        <w:rPr>
          <w:spacing w:val="-2"/>
          <w:w w:val="105"/>
        </w:rPr>
        <w:t> </w:t>
      </w:r>
      <w:r>
        <w:rPr>
          <w:w w:val="105"/>
        </w:rPr>
        <w:t>atualizando</w:t>
      </w:r>
      <w:r>
        <w:rPr>
          <w:spacing w:val="-3"/>
          <w:w w:val="105"/>
        </w:rPr>
        <w:t> </w:t>
      </w:r>
      <w:r>
        <w:rPr>
          <w:w w:val="105"/>
        </w:rPr>
        <w:t>os</w:t>
      </w:r>
      <w:r>
        <w:rPr>
          <w:spacing w:val="-3"/>
          <w:w w:val="105"/>
        </w:rPr>
        <w:t> </w:t>
      </w:r>
      <w:r>
        <w:rPr>
          <w:w w:val="105"/>
        </w:rPr>
        <w:t>dados</w:t>
      </w:r>
      <w:r>
        <w:rPr>
          <w:spacing w:val="-60"/>
          <w:w w:val="105"/>
        </w:rPr>
        <w:t> </w:t>
      </w:r>
      <w:r>
        <w:rPr>
          <w:w w:val="105"/>
        </w:rPr>
        <w:t>dos</w:t>
      </w:r>
      <w:r>
        <w:rPr>
          <w:spacing w:val="-3"/>
          <w:w w:val="105"/>
        </w:rPr>
        <w:t> </w:t>
      </w:r>
      <w:r>
        <w:rPr>
          <w:w w:val="105"/>
        </w:rPr>
        <w:t>processos.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712" w:val="left" w:leader="none"/>
        </w:tabs>
        <w:spacing w:line="240" w:lineRule="auto" w:before="0" w:after="0"/>
        <w:ind w:left="711" w:right="0" w:hanging="249"/>
        <w:jc w:val="left"/>
      </w:pPr>
      <w:r>
        <w:rPr>
          <w:w w:val="105"/>
        </w:rPr>
        <w:t>Situação</w:t>
      </w:r>
      <w:r>
        <w:rPr>
          <w:spacing w:val="-13"/>
          <w:w w:val="105"/>
        </w:rPr>
        <w:t> </w:t>
      </w:r>
      <w:r>
        <w:rPr>
          <w:w w:val="105"/>
        </w:rPr>
        <w:t>atual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Correição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304" w:lineRule="auto"/>
        <w:ind w:left="214" w:right="292" w:firstLine="687"/>
        <w:jc w:val="both"/>
      </w:pPr>
      <w:r>
        <w:rPr>
          <w:w w:val="105"/>
        </w:rPr>
        <w:t>Ressalta-se a constante solicitação de prorrogação de prazo da AUDINT e das comissões, tendo em vista a</w:t>
      </w:r>
      <w:r>
        <w:rPr>
          <w:spacing w:val="-60"/>
          <w:w w:val="105"/>
        </w:rPr>
        <w:t> </w:t>
      </w:r>
      <w:r>
        <w:rPr>
          <w:w w:val="105"/>
        </w:rPr>
        <w:t>pouca</w:t>
      </w:r>
      <w:r>
        <w:rPr>
          <w:spacing w:val="1"/>
          <w:w w:val="105"/>
        </w:rPr>
        <w:t> </w:t>
      </w:r>
      <w:r>
        <w:rPr>
          <w:w w:val="105"/>
        </w:rPr>
        <w:t>quantidade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pessoal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CDC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conciliar</w:t>
      </w:r>
      <w:r>
        <w:rPr>
          <w:spacing w:val="1"/>
          <w:w w:val="105"/>
        </w:rPr>
        <w:t> </w:t>
      </w:r>
      <w:r>
        <w:rPr>
          <w:w w:val="105"/>
        </w:rPr>
        <w:t>os</w:t>
      </w:r>
      <w:r>
        <w:rPr>
          <w:spacing w:val="1"/>
          <w:w w:val="105"/>
        </w:rPr>
        <w:t> </w:t>
      </w:r>
      <w:r>
        <w:rPr>
          <w:w w:val="105"/>
        </w:rPr>
        <w:t>trabalhos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respectivos</w:t>
      </w:r>
      <w:r>
        <w:rPr>
          <w:spacing w:val="1"/>
          <w:w w:val="105"/>
        </w:rPr>
        <w:t> </w:t>
      </w:r>
      <w:r>
        <w:rPr>
          <w:w w:val="105"/>
        </w:rPr>
        <w:t>setores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trabalhos</w:t>
      </w:r>
      <w:r>
        <w:rPr>
          <w:spacing w:val="-60"/>
          <w:w w:val="105"/>
        </w:rPr>
        <w:t> </w:t>
      </w:r>
      <w:r>
        <w:rPr>
          <w:w w:val="105"/>
        </w:rPr>
        <w:t>correcionais.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04" w:lineRule="auto"/>
        <w:ind w:left="214" w:right="292" w:firstLine="687"/>
        <w:jc w:val="both"/>
      </w:pPr>
      <w:r>
        <w:rPr>
          <w:w w:val="105"/>
        </w:rPr>
        <w:t>Ressalta-se ainda que todas as comissões com trabalhos em andamento estão com prazo de conclusão</w:t>
      </w:r>
      <w:r>
        <w:rPr>
          <w:spacing w:val="1"/>
          <w:w w:val="105"/>
        </w:rPr>
        <w:t> </w:t>
      </w:r>
      <w:r>
        <w:rPr>
          <w:w w:val="105"/>
        </w:rPr>
        <w:t>vencido,</w:t>
      </w:r>
      <w:r>
        <w:rPr>
          <w:spacing w:val="-4"/>
          <w:w w:val="105"/>
        </w:rPr>
        <w:t> </w:t>
      </w:r>
      <w:r>
        <w:rPr>
          <w:w w:val="105"/>
        </w:rPr>
        <w:t>sem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haja</w:t>
      </w:r>
      <w:r>
        <w:rPr>
          <w:spacing w:val="-4"/>
          <w:w w:val="105"/>
        </w:rPr>
        <w:t> </w:t>
      </w:r>
      <w:r>
        <w:rPr>
          <w:w w:val="105"/>
        </w:rPr>
        <w:t>portarias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prorrogação,</w:t>
      </w:r>
      <w:r>
        <w:rPr>
          <w:spacing w:val="-4"/>
          <w:w w:val="105"/>
        </w:rPr>
        <w:t> </w:t>
      </w:r>
      <w:r>
        <w:rPr>
          <w:w w:val="105"/>
        </w:rPr>
        <w:t>estando</w:t>
      </w:r>
      <w:r>
        <w:rPr>
          <w:spacing w:val="-4"/>
          <w:w w:val="105"/>
        </w:rPr>
        <w:t> </w:t>
      </w:r>
      <w:r>
        <w:rPr>
          <w:w w:val="105"/>
        </w:rPr>
        <w:t>na</w:t>
      </w:r>
      <w:r>
        <w:rPr>
          <w:spacing w:val="-3"/>
          <w:w w:val="105"/>
        </w:rPr>
        <w:t> </w:t>
      </w:r>
      <w:r>
        <w:rPr>
          <w:w w:val="105"/>
        </w:rPr>
        <w:t>seguinte</w:t>
      </w:r>
      <w:r>
        <w:rPr>
          <w:spacing w:val="-4"/>
          <w:w w:val="105"/>
        </w:rPr>
        <w:t> </w:t>
      </w:r>
      <w:r>
        <w:rPr>
          <w:w w:val="105"/>
        </w:rPr>
        <w:t>situação: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5"/>
        <w:gridCol w:w="5121"/>
      </w:tblGrid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Quantidade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Vencimento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Setembro/22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Outubro/22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Dezembro/22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Janeiro/23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Fevereiro/23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Março/23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Maio/23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Junho/23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Agosto/23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Outubro/23</w:t>
            </w:r>
          </w:p>
        </w:tc>
      </w:tr>
    </w:tbl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00" w:h="16840"/>
          <w:pgMar w:header="269" w:footer="253" w:top="540" w:bottom="440" w:left="560" w:right="500"/>
          <w:pgNumType w:start="1"/>
        </w:sectPr>
      </w:pPr>
    </w:p>
    <w:tbl>
      <w:tblPr>
        <w:tblW w:w="0" w:type="auto"/>
        <w:jc w:val="left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5"/>
        <w:gridCol w:w="5121"/>
      </w:tblGrid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</w:t>
            </w:r>
          </w:p>
        </w:tc>
        <w:tc>
          <w:tcPr>
            <w:tcW w:w="51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</w:pPr>
    </w:p>
    <w:p>
      <w:pPr>
        <w:pStyle w:val="BodyText"/>
        <w:spacing w:line="304" w:lineRule="auto" w:before="106"/>
        <w:ind w:left="214" w:right="277" w:firstLine="687"/>
        <w:jc w:val="both"/>
      </w:pPr>
      <w:r>
        <w:rPr>
          <w:w w:val="105"/>
        </w:rPr>
        <w:t>A principal dificuldade apontada pelas comissões é a divisão de tempo pelos membros entre os trabalhos</w:t>
      </w:r>
      <w:r>
        <w:rPr>
          <w:spacing w:val="1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comissões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os</w:t>
      </w:r>
      <w:r>
        <w:rPr>
          <w:spacing w:val="-6"/>
          <w:w w:val="105"/>
        </w:rPr>
        <w:t> </w:t>
      </w:r>
      <w:r>
        <w:rPr>
          <w:w w:val="105"/>
        </w:rPr>
        <w:t>trabalhos</w:t>
      </w:r>
      <w:r>
        <w:rPr>
          <w:spacing w:val="-7"/>
          <w:w w:val="105"/>
        </w:rPr>
        <w:t> </w:t>
      </w:r>
      <w:r>
        <w:rPr>
          <w:w w:val="105"/>
        </w:rPr>
        <w:t>dos</w:t>
      </w:r>
      <w:r>
        <w:rPr>
          <w:spacing w:val="-7"/>
          <w:w w:val="105"/>
        </w:rPr>
        <w:t> </w:t>
      </w:r>
      <w:r>
        <w:rPr>
          <w:w w:val="105"/>
        </w:rPr>
        <w:t>setores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estão</w:t>
      </w:r>
      <w:r>
        <w:rPr>
          <w:spacing w:val="-7"/>
          <w:w w:val="105"/>
        </w:rPr>
        <w:t> </w:t>
      </w:r>
      <w:r>
        <w:rPr>
          <w:w w:val="105"/>
        </w:rPr>
        <w:t>lotados,</w:t>
      </w:r>
      <w:r>
        <w:rPr>
          <w:spacing w:val="-7"/>
          <w:w w:val="105"/>
        </w:rPr>
        <w:t> </w:t>
      </w:r>
      <w:r>
        <w:rPr>
          <w:w w:val="105"/>
        </w:rPr>
        <w:t>além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alterações</w:t>
      </w:r>
      <w:r>
        <w:rPr>
          <w:spacing w:val="-7"/>
          <w:w w:val="105"/>
        </w:rPr>
        <w:t> </w:t>
      </w:r>
      <w:r>
        <w:rPr>
          <w:w w:val="105"/>
        </w:rPr>
        <w:t>nos</w:t>
      </w:r>
      <w:r>
        <w:rPr>
          <w:spacing w:val="-7"/>
          <w:w w:val="105"/>
        </w:rPr>
        <w:t> </w:t>
      </w:r>
      <w:r>
        <w:rPr>
          <w:w w:val="105"/>
        </w:rPr>
        <w:t>membros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comissões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60"/>
          <w:w w:val="105"/>
        </w:rPr>
        <w:t> </w:t>
      </w:r>
      <w:r>
        <w:rPr>
          <w:w w:val="105"/>
        </w:rPr>
        <w:t>desligamento da empresa de um ou mais membros, sem que tenha havido portaria de nomeação de novos</w:t>
      </w:r>
      <w:r>
        <w:rPr>
          <w:spacing w:val="1"/>
          <w:w w:val="105"/>
        </w:rPr>
        <w:t> </w:t>
      </w:r>
      <w:r>
        <w:rPr>
          <w:w w:val="105"/>
        </w:rPr>
        <w:t>membros,</w:t>
      </w:r>
      <w:r>
        <w:rPr>
          <w:spacing w:val="-5"/>
          <w:w w:val="105"/>
        </w:rPr>
        <w:t> </w:t>
      </w:r>
      <w:r>
        <w:rPr>
          <w:w w:val="105"/>
        </w:rPr>
        <w:t>havendo,</w:t>
      </w:r>
      <w:r>
        <w:rPr>
          <w:spacing w:val="-5"/>
          <w:w w:val="105"/>
        </w:rPr>
        <w:t> </w:t>
      </w:r>
      <w:r>
        <w:rPr>
          <w:w w:val="105"/>
        </w:rPr>
        <w:t>portanto,</w:t>
      </w:r>
      <w:r>
        <w:rPr>
          <w:spacing w:val="-4"/>
          <w:w w:val="105"/>
        </w:rPr>
        <w:t> </w:t>
      </w:r>
      <w:r>
        <w:rPr>
          <w:w w:val="105"/>
        </w:rPr>
        <w:t>situações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comissões</w:t>
      </w:r>
      <w:r>
        <w:rPr>
          <w:spacing w:val="-5"/>
          <w:w w:val="105"/>
        </w:rPr>
        <w:t> </w:t>
      </w:r>
      <w:r>
        <w:rPr>
          <w:w w:val="105"/>
        </w:rPr>
        <w:t>incompletas,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seja,</w:t>
      </w:r>
      <w:r>
        <w:rPr>
          <w:spacing w:val="-4"/>
          <w:w w:val="105"/>
        </w:rPr>
        <w:t> </w:t>
      </w:r>
      <w:r>
        <w:rPr>
          <w:w w:val="105"/>
        </w:rPr>
        <w:t>sem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número</w:t>
      </w:r>
      <w:r>
        <w:rPr>
          <w:spacing w:val="-5"/>
          <w:w w:val="105"/>
        </w:rPr>
        <w:t> </w:t>
      </w:r>
      <w:r>
        <w:rPr>
          <w:w w:val="105"/>
        </w:rPr>
        <w:t>previsto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3</w:t>
      </w:r>
      <w:r>
        <w:rPr>
          <w:spacing w:val="-4"/>
          <w:w w:val="105"/>
        </w:rPr>
        <w:t> </w:t>
      </w:r>
      <w:r>
        <w:rPr>
          <w:w w:val="105"/>
        </w:rPr>
        <w:t>membros,</w:t>
      </w:r>
      <w:r>
        <w:rPr>
          <w:spacing w:val="-61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até</w:t>
      </w:r>
      <w:r>
        <w:rPr>
          <w:spacing w:val="-4"/>
          <w:w w:val="105"/>
        </w:rPr>
        <w:t> </w:t>
      </w:r>
      <w:r>
        <w:rPr>
          <w:w w:val="105"/>
        </w:rPr>
        <w:t>mesmo</w:t>
      </w:r>
      <w:r>
        <w:rPr>
          <w:spacing w:val="-5"/>
          <w:w w:val="105"/>
        </w:rPr>
        <w:t> </w:t>
      </w:r>
      <w:r>
        <w:rPr>
          <w:w w:val="105"/>
        </w:rPr>
        <w:t>sem</w:t>
      </w:r>
      <w:r>
        <w:rPr>
          <w:spacing w:val="-4"/>
          <w:w w:val="105"/>
        </w:rPr>
        <w:t> </w:t>
      </w:r>
      <w:r>
        <w:rPr>
          <w:w w:val="105"/>
        </w:rPr>
        <w:t>membros</w:t>
      </w:r>
      <w:r>
        <w:rPr>
          <w:spacing w:val="-5"/>
          <w:w w:val="105"/>
        </w:rPr>
        <w:t> </w:t>
      </w:r>
      <w:r>
        <w:rPr>
          <w:w w:val="105"/>
        </w:rPr>
        <w:t>(duas</w:t>
      </w:r>
      <w:r>
        <w:rPr>
          <w:spacing w:val="-4"/>
          <w:w w:val="105"/>
        </w:rPr>
        <w:t> </w:t>
      </w:r>
      <w:r>
        <w:rPr>
          <w:w w:val="105"/>
        </w:rPr>
        <w:t>comissões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situação</w:t>
      </w:r>
      <w:r>
        <w:rPr>
          <w:spacing w:val="-4"/>
          <w:w w:val="105"/>
        </w:rPr>
        <w:t> </w:t>
      </w:r>
      <w:r>
        <w:rPr>
          <w:w w:val="105"/>
        </w:rPr>
        <w:t>informada</w:t>
      </w:r>
      <w:r>
        <w:rPr>
          <w:spacing w:val="-5"/>
          <w:w w:val="105"/>
        </w:rPr>
        <w:t> </w:t>
      </w:r>
      <w:r>
        <w:rPr>
          <w:w w:val="105"/>
        </w:rPr>
        <w:t>novamente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DIRPRE).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04" w:lineRule="auto"/>
        <w:ind w:left="214" w:right="279" w:firstLine="687"/>
        <w:jc w:val="both"/>
      </w:pP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solicitações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andamento</w:t>
      </w:r>
      <w:r>
        <w:rPr>
          <w:spacing w:val="-2"/>
          <w:w w:val="105"/>
        </w:rPr>
        <w:t> </w:t>
      </w:r>
      <w:r>
        <w:rPr>
          <w:w w:val="105"/>
        </w:rPr>
        <w:t>dessas</w:t>
      </w:r>
      <w:r>
        <w:rPr>
          <w:spacing w:val="-3"/>
          <w:w w:val="105"/>
        </w:rPr>
        <w:t> </w:t>
      </w:r>
      <w:r>
        <w:rPr>
          <w:w w:val="105"/>
        </w:rPr>
        <w:t>comissões</w:t>
      </w:r>
      <w:r>
        <w:rPr>
          <w:spacing w:val="-3"/>
          <w:w w:val="105"/>
        </w:rPr>
        <w:t> </w:t>
      </w:r>
      <w:r>
        <w:rPr>
          <w:w w:val="105"/>
        </w:rPr>
        <w:t>não</w:t>
      </w:r>
      <w:r>
        <w:rPr>
          <w:spacing w:val="-2"/>
          <w:w w:val="105"/>
        </w:rPr>
        <w:t> </w:t>
      </w:r>
      <w:r>
        <w:rPr>
          <w:w w:val="105"/>
        </w:rPr>
        <w:t>finalizadas</w:t>
      </w:r>
      <w:r>
        <w:rPr>
          <w:spacing w:val="-3"/>
          <w:w w:val="105"/>
        </w:rPr>
        <w:t> </w:t>
      </w:r>
      <w:r>
        <w:rPr>
          <w:w w:val="105"/>
        </w:rPr>
        <w:t>foram</w:t>
      </w:r>
      <w:r>
        <w:rPr>
          <w:spacing w:val="-3"/>
          <w:w w:val="105"/>
        </w:rPr>
        <w:t> </w:t>
      </w:r>
      <w:r>
        <w:rPr>
          <w:w w:val="105"/>
        </w:rPr>
        <w:t>encaminhadas</w:t>
      </w:r>
      <w:r>
        <w:rPr>
          <w:spacing w:val="-2"/>
          <w:w w:val="105"/>
        </w:rPr>
        <w:t> </w:t>
      </w:r>
      <w:r>
        <w:rPr>
          <w:w w:val="105"/>
        </w:rPr>
        <w:t>novamente</w:t>
      </w:r>
      <w:r>
        <w:rPr>
          <w:spacing w:val="-3"/>
          <w:w w:val="105"/>
        </w:rPr>
        <w:t> </w:t>
      </w:r>
      <w:r>
        <w:rPr>
          <w:w w:val="105"/>
        </w:rPr>
        <w:t>também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60"/>
          <w:w w:val="105"/>
        </w:rPr>
        <w:t> </w:t>
      </w:r>
      <w:r>
        <w:rPr>
          <w:w w:val="105"/>
        </w:rPr>
        <w:t>DIRPRE,</w:t>
      </w:r>
      <w:r>
        <w:rPr>
          <w:spacing w:val="-7"/>
          <w:w w:val="105"/>
        </w:rPr>
        <w:t> </w:t>
      </w:r>
      <w:r>
        <w:rPr>
          <w:w w:val="105"/>
        </w:rPr>
        <w:t>já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é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responsável</w:t>
      </w:r>
      <w:r>
        <w:rPr>
          <w:spacing w:val="-6"/>
          <w:w w:val="105"/>
        </w:rPr>
        <w:t> </w:t>
      </w:r>
      <w:r>
        <w:rPr>
          <w:w w:val="105"/>
        </w:rPr>
        <w:t>pela</w:t>
      </w:r>
      <w:r>
        <w:rPr>
          <w:spacing w:val="-6"/>
          <w:w w:val="105"/>
        </w:rPr>
        <w:t> </w:t>
      </w:r>
      <w:r>
        <w:rPr>
          <w:w w:val="105"/>
        </w:rPr>
        <w:t>nomeação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comissões,</w:t>
      </w:r>
      <w:r>
        <w:rPr>
          <w:spacing w:val="-6"/>
          <w:w w:val="105"/>
        </w:rPr>
        <w:t> </w:t>
      </w:r>
      <w:r>
        <w:rPr>
          <w:w w:val="105"/>
        </w:rPr>
        <w:t>bem</w:t>
      </w:r>
      <w:r>
        <w:rPr>
          <w:spacing w:val="-6"/>
          <w:w w:val="105"/>
        </w:rPr>
        <w:t> </w:t>
      </w:r>
      <w:r>
        <w:rPr>
          <w:w w:val="105"/>
        </w:rPr>
        <w:t>como</w:t>
      </w:r>
      <w:r>
        <w:rPr>
          <w:spacing w:val="-6"/>
          <w:w w:val="105"/>
        </w:rPr>
        <w:t> </w:t>
      </w:r>
      <w:r>
        <w:rPr>
          <w:w w:val="105"/>
        </w:rPr>
        <w:t>pela</w:t>
      </w:r>
      <w:r>
        <w:rPr>
          <w:spacing w:val="-7"/>
          <w:w w:val="105"/>
        </w:rPr>
        <w:t> </w:t>
      </w:r>
      <w:r>
        <w:rPr>
          <w:w w:val="105"/>
        </w:rPr>
        <w:t>prorrogação</w:t>
      </w:r>
      <w:r>
        <w:rPr>
          <w:spacing w:val="-6"/>
          <w:w w:val="105"/>
        </w:rPr>
        <w:t> </w:t>
      </w:r>
      <w:r>
        <w:rPr>
          <w:w w:val="105"/>
        </w:rPr>
        <w:t>dos</w:t>
      </w:r>
      <w:r>
        <w:rPr>
          <w:spacing w:val="-6"/>
          <w:w w:val="105"/>
        </w:rPr>
        <w:t> </w:t>
      </w:r>
      <w:r>
        <w:rPr>
          <w:w w:val="105"/>
        </w:rPr>
        <w:t>prazos.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04" w:lineRule="auto"/>
        <w:ind w:left="214" w:right="277" w:firstLine="687"/>
        <w:jc w:val="both"/>
      </w:pPr>
      <w:r>
        <w:rPr>
          <w:w w:val="105"/>
        </w:rPr>
        <w:t>A AUDINT chama a atenção quanto à necessidade da criação de setor próprio de Correição, em que as</w:t>
      </w:r>
      <w:r>
        <w:rPr>
          <w:spacing w:val="1"/>
          <w:w w:val="105"/>
        </w:rPr>
        <w:t> </w:t>
      </w:r>
      <w:r>
        <w:rPr>
          <w:w w:val="105"/>
        </w:rPr>
        <w:t>pessoas</w:t>
      </w:r>
      <w:r>
        <w:rPr>
          <w:spacing w:val="-11"/>
          <w:w w:val="105"/>
        </w:rPr>
        <w:t> </w:t>
      </w:r>
      <w:r>
        <w:rPr>
          <w:w w:val="105"/>
        </w:rPr>
        <w:t>lotadas</w:t>
      </w:r>
      <w:r>
        <w:rPr>
          <w:spacing w:val="-10"/>
          <w:w w:val="105"/>
        </w:rPr>
        <w:t> </w:t>
      </w:r>
      <w:r>
        <w:rPr>
          <w:w w:val="105"/>
        </w:rPr>
        <w:t>possam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dedicar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treinamento</w:t>
      </w:r>
      <w:r>
        <w:rPr>
          <w:spacing w:val="-11"/>
          <w:w w:val="105"/>
        </w:rPr>
        <w:t> </w:t>
      </w:r>
      <w:r>
        <w:rPr>
          <w:w w:val="105"/>
        </w:rPr>
        <w:t>sobre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assunto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realização</w:t>
      </w:r>
      <w:r>
        <w:rPr>
          <w:spacing w:val="-10"/>
          <w:w w:val="105"/>
        </w:rPr>
        <w:t> </w:t>
      </w:r>
      <w:r>
        <w:rPr>
          <w:w w:val="105"/>
        </w:rPr>
        <w:t>dos</w:t>
      </w:r>
      <w:r>
        <w:rPr>
          <w:spacing w:val="-11"/>
          <w:w w:val="105"/>
        </w:rPr>
        <w:t> </w:t>
      </w:r>
      <w:r>
        <w:rPr>
          <w:w w:val="105"/>
        </w:rPr>
        <w:t>trabalhos</w:t>
      </w:r>
      <w:r>
        <w:rPr>
          <w:spacing w:val="-10"/>
          <w:w w:val="105"/>
        </w:rPr>
        <w:t> </w:t>
      </w:r>
      <w:r>
        <w:rPr>
          <w:w w:val="105"/>
        </w:rPr>
        <w:t>nos</w:t>
      </w:r>
      <w:r>
        <w:rPr>
          <w:spacing w:val="-11"/>
          <w:w w:val="105"/>
        </w:rPr>
        <w:t> </w:t>
      </w:r>
      <w:r>
        <w:rPr>
          <w:w w:val="105"/>
        </w:rPr>
        <w:t>prazos</w:t>
      </w:r>
      <w:r>
        <w:rPr>
          <w:spacing w:val="-10"/>
          <w:w w:val="105"/>
        </w:rPr>
        <w:t> </w:t>
      </w:r>
      <w:r>
        <w:rPr>
          <w:w w:val="105"/>
        </w:rPr>
        <w:t>previstos,</w:t>
      </w:r>
      <w:r>
        <w:rPr>
          <w:spacing w:val="-60"/>
          <w:w w:val="105"/>
        </w:rPr>
        <w:t> </w:t>
      </w:r>
      <w:r>
        <w:rPr>
          <w:w w:val="105"/>
        </w:rPr>
        <w:t>com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exclusividade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profundidade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assunto</w:t>
      </w:r>
      <w:r>
        <w:rPr>
          <w:spacing w:val="-9"/>
          <w:w w:val="105"/>
        </w:rPr>
        <w:t> </w:t>
      </w:r>
      <w:r>
        <w:rPr>
          <w:w w:val="105"/>
        </w:rPr>
        <w:t>requer,</w:t>
      </w:r>
      <w:r>
        <w:rPr>
          <w:spacing w:val="-10"/>
          <w:w w:val="105"/>
        </w:rPr>
        <w:t> </w:t>
      </w:r>
      <w:r>
        <w:rPr>
          <w:w w:val="105"/>
        </w:rPr>
        <w:t>tendo</w:t>
      </w:r>
      <w:r>
        <w:rPr>
          <w:spacing w:val="-9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vista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volume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trabalho</w:t>
      </w:r>
      <w:r>
        <w:rPr>
          <w:spacing w:val="-10"/>
          <w:w w:val="105"/>
        </w:rPr>
        <w:t> </w:t>
      </w:r>
      <w:r>
        <w:rPr>
          <w:w w:val="105"/>
        </w:rPr>
        <w:t>relacionado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este</w:t>
      </w:r>
      <w:r>
        <w:rPr>
          <w:spacing w:val="-60"/>
          <w:w w:val="105"/>
        </w:rPr>
        <w:t> </w:t>
      </w:r>
      <w:r>
        <w:rPr>
          <w:w w:val="105"/>
        </w:rPr>
        <w:t>assunto.</w:t>
      </w:r>
      <w:r>
        <w:rPr>
          <w:spacing w:val="-4"/>
          <w:w w:val="105"/>
        </w:rPr>
        <w:t> </w:t>
      </w:r>
      <w:r>
        <w:rPr>
          <w:w w:val="105"/>
        </w:rPr>
        <w:t>Essa</w:t>
      </w:r>
      <w:r>
        <w:rPr>
          <w:spacing w:val="-3"/>
          <w:w w:val="105"/>
        </w:rPr>
        <w:t> </w:t>
      </w:r>
      <w:r>
        <w:rPr>
          <w:w w:val="105"/>
        </w:rPr>
        <w:t>necessidade</w:t>
      </w:r>
      <w:r>
        <w:rPr>
          <w:spacing w:val="-3"/>
          <w:w w:val="105"/>
        </w:rPr>
        <w:t> </w:t>
      </w:r>
      <w:r>
        <w:rPr>
          <w:w w:val="105"/>
        </w:rPr>
        <w:t>já</w:t>
      </w:r>
      <w:r>
        <w:rPr>
          <w:spacing w:val="-3"/>
          <w:w w:val="105"/>
        </w:rPr>
        <w:t> </w:t>
      </w:r>
      <w:r>
        <w:rPr>
          <w:w w:val="105"/>
        </w:rPr>
        <w:t>foi</w:t>
      </w:r>
      <w:r>
        <w:rPr>
          <w:spacing w:val="-3"/>
          <w:w w:val="105"/>
        </w:rPr>
        <w:t> </w:t>
      </w:r>
      <w:r>
        <w:rPr>
          <w:w w:val="105"/>
        </w:rPr>
        <w:t>abordada</w:t>
      </w:r>
      <w:r>
        <w:rPr>
          <w:spacing w:val="-3"/>
          <w:w w:val="105"/>
        </w:rPr>
        <w:t> </w:t>
      </w:r>
      <w:r>
        <w:rPr>
          <w:w w:val="105"/>
        </w:rPr>
        <w:t>nas</w:t>
      </w:r>
      <w:r>
        <w:rPr>
          <w:spacing w:val="-3"/>
          <w:w w:val="105"/>
        </w:rPr>
        <w:t> </w:t>
      </w:r>
      <w:r>
        <w:rPr>
          <w:w w:val="105"/>
        </w:rPr>
        <w:t>visitas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MINFRA.</w:t>
      </w:r>
    </w:p>
    <w:p>
      <w:pPr>
        <w:pStyle w:val="BodyText"/>
        <w:rPr>
          <w:sz w:val="16"/>
        </w:rPr>
      </w:pPr>
    </w:p>
    <w:p>
      <w:pPr>
        <w:pStyle w:val="BodyText"/>
        <w:spacing w:after="23"/>
        <w:ind w:left="902"/>
      </w:pPr>
      <w:r>
        <w:rPr>
          <w:w w:val="105"/>
        </w:rPr>
        <w:t>Quanto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recorrência</w:t>
      </w:r>
      <w:r>
        <w:rPr>
          <w:spacing w:val="-12"/>
          <w:w w:val="105"/>
        </w:rPr>
        <w:t> </w:t>
      </w:r>
      <w:r>
        <w:rPr>
          <w:w w:val="105"/>
        </w:rPr>
        <w:t>dos</w:t>
      </w:r>
      <w:r>
        <w:rPr>
          <w:spacing w:val="-13"/>
          <w:w w:val="105"/>
        </w:rPr>
        <w:t> </w:t>
      </w:r>
      <w:r>
        <w:rPr>
          <w:w w:val="105"/>
        </w:rPr>
        <w:t>assuntos</w:t>
      </w:r>
      <w:r>
        <w:rPr>
          <w:spacing w:val="-12"/>
          <w:w w:val="105"/>
        </w:rPr>
        <w:t> </w:t>
      </w:r>
      <w:r>
        <w:rPr>
          <w:w w:val="105"/>
        </w:rPr>
        <w:t>tratados</w:t>
      </w:r>
      <w:r>
        <w:rPr>
          <w:spacing w:val="-12"/>
          <w:w w:val="105"/>
        </w:rPr>
        <w:t> </w:t>
      </w:r>
      <w:r>
        <w:rPr>
          <w:w w:val="105"/>
        </w:rPr>
        <w:t>nas</w:t>
      </w:r>
      <w:r>
        <w:rPr>
          <w:spacing w:val="-13"/>
          <w:w w:val="105"/>
        </w:rPr>
        <w:t> </w:t>
      </w:r>
      <w:r>
        <w:rPr>
          <w:w w:val="105"/>
        </w:rPr>
        <w:t>apurações</w:t>
      </w:r>
      <w:r>
        <w:rPr>
          <w:spacing w:val="-12"/>
          <w:w w:val="105"/>
        </w:rPr>
        <w:t> </w:t>
      </w:r>
      <w:r>
        <w:rPr>
          <w:w w:val="105"/>
        </w:rPr>
        <w:t>dos</w:t>
      </w:r>
      <w:r>
        <w:rPr>
          <w:spacing w:val="-12"/>
          <w:w w:val="105"/>
        </w:rPr>
        <w:t> </w:t>
      </w:r>
      <w:r>
        <w:rPr>
          <w:w w:val="105"/>
        </w:rPr>
        <w:t>35</w:t>
      </w:r>
      <w:r>
        <w:rPr>
          <w:spacing w:val="-12"/>
          <w:w w:val="105"/>
        </w:rPr>
        <w:t> </w:t>
      </w:r>
      <w:r>
        <w:rPr>
          <w:w w:val="105"/>
        </w:rPr>
        <w:t>processos,</w:t>
      </w:r>
      <w:r>
        <w:rPr>
          <w:spacing w:val="-13"/>
          <w:w w:val="105"/>
        </w:rPr>
        <w:t> </w:t>
      </w:r>
      <w:r>
        <w:rPr>
          <w:w w:val="105"/>
        </w:rPr>
        <w:t>tem-se:</w:t>
      </w:r>
    </w:p>
    <w:tbl>
      <w:tblPr>
        <w:tblW w:w="0" w:type="auto"/>
        <w:jc w:val="left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5"/>
        <w:gridCol w:w="5121"/>
      </w:tblGrid>
      <w:tr>
        <w:trPr>
          <w:trHeight w:val="453" w:hRule="atLeast"/>
        </w:trPr>
        <w:tc>
          <w:tcPr>
            <w:tcW w:w="5165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Temas</w:t>
            </w:r>
          </w:p>
        </w:tc>
        <w:tc>
          <w:tcPr>
            <w:tcW w:w="5121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1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Quantidade</w:t>
            </w:r>
          </w:p>
        </w:tc>
      </w:tr>
      <w:tr>
        <w:trPr>
          <w:trHeight w:val="453" w:hRule="atLeast"/>
        </w:trPr>
        <w:tc>
          <w:tcPr>
            <w:tcW w:w="5165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Possíveis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descumprimentos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funcionais</w:t>
            </w:r>
          </w:p>
        </w:tc>
        <w:tc>
          <w:tcPr>
            <w:tcW w:w="5121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</w:tr>
      <w:tr>
        <w:trPr>
          <w:trHeight w:val="453" w:hRule="atLeast"/>
        </w:trPr>
        <w:tc>
          <w:tcPr>
            <w:tcW w:w="5165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Elaboração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Contratos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Emergenciais</w:t>
            </w:r>
          </w:p>
        </w:tc>
        <w:tc>
          <w:tcPr>
            <w:tcW w:w="5121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</w:tr>
      <w:tr>
        <w:trPr>
          <w:trHeight w:val="453" w:hRule="atLeast"/>
        </w:trPr>
        <w:tc>
          <w:tcPr>
            <w:tcW w:w="5165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w w:val="105"/>
                <w:sz w:val="17"/>
              </w:rPr>
              <w:t>Autos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infração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multas</w:t>
            </w:r>
          </w:p>
        </w:tc>
        <w:tc>
          <w:tcPr>
            <w:tcW w:w="5121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</w:p>
        </w:tc>
      </w:tr>
      <w:tr>
        <w:trPr>
          <w:trHeight w:val="716" w:hRule="atLeast"/>
        </w:trPr>
        <w:tc>
          <w:tcPr>
            <w:tcW w:w="5165" w:type="dxa"/>
          </w:tcPr>
          <w:p>
            <w:pPr>
              <w:pStyle w:val="TableParagraph"/>
              <w:spacing w:line="260" w:lineRule="atLeast" w:before="170"/>
              <w:ind w:right="189"/>
              <w:rPr>
                <w:sz w:val="17"/>
              </w:rPr>
            </w:pPr>
            <w:r>
              <w:rPr>
                <w:w w:val="105"/>
                <w:sz w:val="17"/>
              </w:rPr>
              <w:t>Possibilidade</w:t>
            </w:r>
            <w:r>
              <w:rPr>
                <w:spacing w:val="3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3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Execução</w:t>
            </w:r>
            <w:r>
              <w:rPr>
                <w:spacing w:val="3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sem</w:t>
            </w:r>
            <w:r>
              <w:rPr>
                <w:spacing w:val="3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cobertura</w:t>
            </w:r>
            <w:r>
              <w:rPr>
                <w:spacing w:val="3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contratual</w:t>
            </w:r>
            <w:r>
              <w:rPr>
                <w:spacing w:val="-6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Confissão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dívida</w:t>
            </w:r>
          </w:p>
        </w:tc>
        <w:tc>
          <w:tcPr>
            <w:tcW w:w="5121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</w:p>
        </w:tc>
      </w:tr>
      <w:tr>
        <w:trPr>
          <w:trHeight w:val="453" w:hRule="atLeast"/>
        </w:trPr>
        <w:tc>
          <w:tcPr>
            <w:tcW w:w="5165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Possível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terceirização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indevida</w:t>
            </w:r>
          </w:p>
        </w:tc>
        <w:tc>
          <w:tcPr>
            <w:tcW w:w="5121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</w:tr>
      <w:tr>
        <w:trPr>
          <w:trHeight w:val="453" w:hRule="atLeast"/>
        </w:trPr>
        <w:tc>
          <w:tcPr>
            <w:tcW w:w="5165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w w:val="105"/>
                <w:sz w:val="17"/>
              </w:rPr>
              <w:t>Total</w:t>
            </w:r>
          </w:p>
        </w:tc>
        <w:tc>
          <w:tcPr>
            <w:tcW w:w="5121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numPr>
          <w:ilvl w:val="0"/>
          <w:numId w:val="1"/>
        </w:numPr>
        <w:tabs>
          <w:tab w:pos="712" w:val="left" w:leader="none"/>
        </w:tabs>
        <w:spacing w:line="240" w:lineRule="auto" w:before="0" w:after="0"/>
        <w:ind w:left="711" w:right="0" w:hanging="249"/>
        <w:jc w:val="left"/>
      </w:pPr>
      <w:r>
        <w:rPr>
          <w:w w:val="105"/>
        </w:rPr>
        <w:t>Análise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304" w:lineRule="auto"/>
        <w:ind w:left="214" w:right="277" w:firstLine="687"/>
        <w:jc w:val="both"/>
      </w:pPr>
      <w:r>
        <w:rPr>
          <w:w w:val="105"/>
        </w:rPr>
        <w:t>Com</w:t>
      </w:r>
      <w:r>
        <w:rPr>
          <w:spacing w:val="-11"/>
          <w:w w:val="105"/>
        </w:rPr>
        <w:t> </w:t>
      </w: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art.</w:t>
      </w:r>
      <w:r>
        <w:rPr>
          <w:spacing w:val="-11"/>
          <w:w w:val="105"/>
        </w:rPr>
        <w:t> </w:t>
      </w:r>
      <w:r>
        <w:rPr>
          <w:w w:val="105"/>
        </w:rPr>
        <w:t>91,</w:t>
      </w:r>
      <w:r>
        <w:rPr>
          <w:spacing w:val="-10"/>
          <w:w w:val="105"/>
        </w:rPr>
        <w:t> </w:t>
      </w:r>
      <w:r>
        <w:rPr>
          <w:w w:val="105"/>
        </w:rPr>
        <w:t>parágrafo</w:t>
      </w:r>
      <w:r>
        <w:rPr>
          <w:spacing w:val="-10"/>
          <w:w w:val="105"/>
        </w:rPr>
        <w:t> </w:t>
      </w:r>
      <w:r>
        <w:rPr>
          <w:w w:val="105"/>
        </w:rPr>
        <w:t>único,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supracitada</w:t>
      </w:r>
      <w:r>
        <w:rPr>
          <w:spacing w:val="-10"/>
          <w:w w:val="105"/>
        </w:rPr>
        <w:t> </w:t>
      </w:r>
      <w:r>
        <w:rPr>
          <w:w w:val="105"/>
        </w:rPr>
        <w:t>norma,</w:t>
      </w:r>
      <w:r>
        <w:rPr>
          <w:spacing w:val="-11"/>
          <w:w w:val="105"/>
        </w:rPr>
        <w:t> </w:t>
      </w:r>
      <w:r>
        <w:rPr>
          <w:w w:val="105"/>
        </w:rPr>
        <w:t>“A</w:t>
      </w:r>
      <w:r>
        <w:rPr>
          <w:spacing w:val="-10"/>
          <w:w w:val="105"/>
        </w:rPr>
        <w:t> </w:t>
      </w:r>
      <w:r>
        <w:rPr>
          <w:w w:val="105"/>
        </w:rPr>
        <w:t>AUDINT</w:t>
      </w:r>
      <w:r>
        <w:rPr>
          <w:spacing w:val="-10"/>
          <w:w w:val="105"/>
        </w:rPr>
        <w:t> </w:t>
      </w:r>
      <w:r>
        <w:rPr>
          <w:w w:val="105"/>
        </w:rPr>
        <w:t>elaborará</w:t>
      </w:r>
      <w:r>
        <w:rPr>
          <w:spacing w:val="-10"/>
          <w:w w:val="105"/>
        </w:rPr>
        <w:t> </w:t>
      </w:r>
      <w:r>
        <w:rPr>
          <w:w w:val="105"/>
        </w:rPr>
        <w:t>trimestralmente</w:t>
      </w:r>
      <w:r>
        <w:rPr>
          <w:spacing w:val="-11"/>
          <w:w w:val="105"/>
        </w:rPr>
        <w:t> </w:t>
      </w:r>
      <w:r>
        <w:rPr>
          <w:w w:val="105"/>
        </w:rPr>
        <w:t>relatório</w:t>
      </w:r>
      <w:r>
        <w:rPr>
          <w:spacing w:val="-60"/>
          <w:w w:val="105"/>
        </w:rPr>
        <w:t> </w:t>
      </w:r>
      <w:r>
        <w:rPr>
          <w:w w:val="105"/>
        </w:rPr>
        <w:t>geral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informações,</w:t>
      </w:r>
      <w:r>
        <w:rPr>
          <w:spacing w:val="-4"/>
          <w:w w:val="105"/>
        </w:rPr>
        <w:t> </w:t>
      </w:r>
      <w:r>
        <w:rPr>
          <w:w w:val="105"/>
        </w:rPr>
        <w:t>destinado</w:t>
      </w:r>
      <w:r>
        <w:rPr>
          <w:spacing w:val="-4"/>
          <w:w w:val="105"/>
        </w:rPr>
        <w:t> </w:t>
      </w:r>
      <w:r>
        <w:rPr>
          <w:w w:val="105"/>
        </w:rPr>
        <w:t>ao</w:t>
      </w:r>
      <w:r>
        <w:rPr>
          <w:spacing w:val="-3"/>
          <w:w w:val="105"/>
        </w:rPr>
        <w:t> </w:t>
      </w:r>
      <w:r>
        <w:rPr>
          <w:w w:val="105"/>
        </w:rPr>
        <w:t>CONSAD,</w:t>
      </w:r>
      <w:r>
        <w:rPr>
          <w:spacing w:val="-4"/>
          <w:w w:val="105"/>
        </w:rPr>
        <w:t> </w:t>
      </w:r>
      <w:r>
        <w:rPr>
          <w:w w:val="105"/>
        </w:rPr>
        <w:t>onde</w:t>
      </w:r>
      <w:r>
        <w:rPr>
          <w:spacing w:val="-4"/>
          <w:w w:val="105"/>
        </w:rPr>
        <w:t> </w:t>
      </w:r>
      <w:r>
        <w:rPr>
          <w:w w:val="105"/>
        </w:rPr>
        <w:t>deverá</w:t>
      </w:r>
      <w:r>
        <w:rPr>
          <w:spacing w:val="-4"/>
          <w:w w:val="105"/>
        </w:rPr>
        <w:t> </w:t>
      </w:r>
      <w:r>
        <w:rPr>
          <w:w w:val="105"/>
        </w:rPr>
        <w:t>conter</w:t>
      </w:r>
      <w:r>
        <w:rPr>
          <w:spacing w:val="-4"/>
          <w:w w:val="105"/>
        </w:rPr>
        <w:t> </w:t>
      </w:r>
      <w:r>
        <w:rPr>
          <w:w w:val="105"/>
        </w:rPr>
        <w:t>minimamente: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quantidade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procedimentos</w:t>
      </w:r>
      <w:r>
        <w:rPr>
          <w:spacing w:val="-61"/>
          <w:w w:val="105"/>
        </w:rPr>
        <w:t> </w:t>
      </w:r>
      <w:r>
        <w:rPr>
          <w:w w:val="105"/>
        </w:rPr>
        <w:t>em andamento; II – quantidade de procedimentos concluídos; III – procedimentos arquivados; IV – tempo médio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duração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-3"/>
          <w:w w:val="105"/>
        </w:rPr>
        <w:t> </w:t>
      </w:r>
      <w:r>
        <w:rPr>
          <w:w w:val="105"/>
        </w:rPr>
        <w:t>processos;</w:t>
      </w:r>
      <w:r>
        <w:rPr>
          <w:spacing w:val="-3"/>
          <w:w w:val="105"/>
        </w:rPr>
        <w:t> </w:t>
      </w:r>
      <w:r>
        <w:rPr>
          <w:w w:val="105"/>
        </w:rPr>
        <w:t>V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w w:val="105"/>
        </w:rPr>
        <w:t>sanções</w:t>
      </w:r>
      <w:r>
        <w:rPr>
          <w:spacing w:val="-3"/>
          <w:w w:val="105"/>
        </w:rPr>
        <w:t> </w:t>
      </w:r>
      <w:r>
        <w:rPr>
          <w:w w:val="105"/>
        </w:rPr>
        <w:t>indicadas,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caso.”</w:t>
      </w:r>
    </w:p>
    <w:p>
      <w:pPr>
        <w:pStyle w:val="BodyText"/>
        <w:rPr>
          <w:sz w:val="22"/>
        </w:rPr>
      </w:pPr>
    </w:p>
    <w:p>
      <w:pPr>
        <w:pStyle w:val="BodyText"/>
        <w:spacing w:line="304" w:lineRule="auto"/>
        <w:ind w:left="214" w:right="277" w:firstLine="687"/>
        <w:jc w:val="both"/>
      </w:pPr>
      <w:r>
        <w:rPr>
          <w:w w:val="105"/>
        </w:rPr>
        <w:t>Assim, abaixo consta quadro em que são especificadas essas informações previstas na norma de forma</w:t>
      </w:r>
      <w:r>
        <w:rPr>
          <w:spacing w:val="1"/>
          <w:w w:val="105"/>
        </w:rPr>
        <w:t> </w:t>
      </w:r>
      <w:r>
        <w:rPr>
          <w:w w:val="105"/>
        </w:rPr>
        <w:t>quantitativa, bem como, em anexo, a AUDINT expõe o acompanhamento das comissões a partir da vigência da</w:t>
      </w:r>
      <w:r>
        <w:rPr>
          <w:spacing w:val="1"/>
          <w:w w:val="105"/>
        </w:rPr>
        <w:t> </w:t>
      </w:r>
      <w:r>
        <w:rPr>
          <w:w w:val="105"/>
        </w:rPr>
        <w:t>norma.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02"/>
      </w:pPr>
      <w:r>
        <w:rPr>
          <w:w w:val="105"/>
        </w:rPr>
        <w:t>Dados</w:t>
      </w:r>
      <w:r>
        <w:rPr>
          <w:spacing w:val="-14"/>
          <w:w w:val="105"/>
        </w:rPr>
        <w:t> </w:t>
      </w:r>
      <w:r>
        <w:rPr>
          <w:w w:val="105"/>
        </w:rPr>
        <w:t>até</w:t>
      </w:r>
      <w:r>
        <w:rPr>
          <w:spacing w:val="-14"/>
          <w:w w:val="105"/>
        </w:rPr>
        <w:t> </w:t>
      </w:r>
      <w:r>
        <w:rPr>
          <w:w w:val="105"/>
        </w:rPr>
        <w:t>28/10/2023,</w:t>
      </w:r>
      <w:r>
        <w:rPr>
          <w:spacing w:val="-13"/>
          <w:w w:val="105"/>
        </w:rPr>
        <w:t> </w:t>
      </w:r>
      <w:r>
        <w:rPr>
          <w:w w:val="105"/>
        </w:rPr>
        <w:t>desde</w:t>
      </w:r>
      <w:r>
        <w:rPr>
          <w:spacing w:val="-14"/>
          <w:w w:val="105"/>
        </w:rPr>
        <w:t> </w:t>
      </w:r>
      <w:r>
        <w:rPr>
          <w:w w:val="105"/>
        </w:rPr>
        <w:t>o</w:t>
      </w:r>
      <w:r>
        <w:rPr>
          <w:spacing w:val="-14"/>
          <w:w w:val="105"/>
        </w:rPr>
        <w:t> </w:t>
      </w:r>
      <w:r>
        <w:rPr>
          <w:w w:val="105"/>
        </w:rPr>
        <w:t>início</w:t>
      </w:r>
      <w:r>
        <w:rPr>
          <w:spacing w:val="-13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acompanhamento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4"/>
          <w:w w:val="105"/>
        </w:rPr>
        <w:t> </w:t>
      </w:r>
      <w:r>
        <w:rPr>
          <w:w w:val="105"/>
        </w:rPr>
        <w:t>AUDINT:</w:t>
      </w: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2"/>
        <w:gridCol w:w="600"/>
      </w:tblGrid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Quantidade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procedimentos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acompanhamento</w:t>
            </w:r>
          </w:p>
        </w:tc>
        <w:tc>
          <w:tcPr>
            <w:tcW w:w="600" w:type="dxa"/>
          </w:tcPr>
          <w:p>
            <w:pPr>
              <w:pStyle w:val="TableParagraph"/>
              <w:ind w:left="96" w:right="2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Quantidade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procedimentos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andamento</w:t>
            </w:r>
          </w:p>
        </w:tc>
        <w:tc>
          <w:tcPr>
            <w:tcW w:w="600" w:type="dxa"/>
          </w:tcPr>
          <w:p>
            <w:pPr>
              <w:pStyle w:val="TableParagraph"/>
              <w:ind w:left="96" w:right="2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</w:tr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Quantidade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procedimentos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suspensos</w:t>
            </w:r>
          </w:p>
        </w:tc>
        <w:tc>
          <w:tcPr>
            <w:tcW w:w="600" w:type="dxa"/>
          </w:tcPr>
          <w:p>
            <w:pPr>
              <w:pStyle w:val="TableParagraph"/>
              <w:ind w:left="96" w:right="2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</w:t>
            </w:r>
          </w:p>
        </w:tc>
      </w:tr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Quantidade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procedimentos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concluídos</w:t>
            </w:r>
          </w:p>
        </w:tc>
        <w:tc>
          <w:tcPr>
            <w:tcW w:w="600" w:type="dxa"/>
          </w:tcPr>
          <w:p>
            <w:pPr>
              <w:pStyle w:val="TableParagraph"/>
              <w:ind w:left="96" w:right="2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</w:tr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Procedimentos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concluídos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sugestão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arquivamento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(sem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sanção)</w:t>
            </w:r>
          </w:p>
        </w:tc>
        <w:tc>
          <w:tcPr>
            <w:tcW w:w="600" w:type="dxa"/>
          </w:tcPr>
          <w:p>
            <w:pPr>
              <w:pStyle w:val="TableParagraph"/>
              <w:ind w:left="96" w:right="2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</w:p>
        </w:tc>
      </w:tr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Procedimentos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concluídos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elaboração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TAC</w:t>
            </w:r>
          </w:p>
        </w:tc>
        <w:tc>
          <w:tcPr>
            <w:tcW w:w="600" w:type="dxa"/>
          </w:tcPr>
          <w:p>
            <w:pPr>
              <w:pStyle w:val="TableParagraph"/>
              <w:ind w:left="96" w:right="2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</w:tr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Procedimentos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concluídos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sugestão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sanção</w:t>
            </w:r>
          </w:p>
        </w:tc>
        <w:tc>
          <w:tcPr>
            <w:tcW w:w="600" w:type="dxa"/>
          </w:tcPr>
          <w:p>
            <w:pPr>
              <w:pStyle w:val="TableParagraph"/>
              <w:ind w:left="96" w:right="2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06</w:t>
            </w:r>
          </w:p>
        </w:tc>
      </w:tr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Tempo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médio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duração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processos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(em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dias)</w:t>
            </w:r>
          </w:p>
        </w:tc>
        <w:tc>
          <w:tcPr>
            <w:tcW w:w="600" w:type="dxa"/>
          </w:tcPr>
          <w:p>
            <w:pPr>
              <w:pStyle w:val="TableParagraph"/>
              <w:ind w:left="96" w:right="10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902"/>
      </w:pPr>
      <w:r>
        <w:rPr>
          <w:w w:val="105"/>
        </w:rPr>
        <w:t>Dados</w:t>
      </w:r>
      <w:r>
        <w:rPr>
          <w:spacing w:val="-15"/>
          <w:w w:val="105"/>
        </w:rPr>
        <w:t> </w:t>
      </w:r>
      <w:r>
        <w:rPr>
          <w:w w:val="105"/>
        </w:rPr>
        <w:t>trimestrais,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29/07/2023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28/10/2023:</w:t>
      </w:r>
    </w:p>
    <w:p>
      <w:pPr>
        <w:pStyle w:val="BodyText"/>
        <w:spacing w:before="3"/>
        <w:rPr>
          <w:sz w:val="20"/>
        </w:rPr>
      </w:pPr>
      <w:r>
        <w:rPr/>
        <w:pict>
          <v:group style="position:absolute;margin-left:39.455677pt;margin-top:14.287518pt;width:424.35pt;height:14.65pt;mso-position-horizontal-relative:page;mso-position-vertical-relative:paragraph;z-index:-15728640;mso-wrap-distance-left:0;mso-wrap-distance-right:0" coordorigin="789,286" coordsize="8487,293">
            <v:shape style="position:absolute;left:8668;top:293;width:600;height:278" type="#_x0000_t202" filled="false" stroked="true" strokeweight=".731605pt" strokecolor="#000000">
              <v:textbox inset="0,0,0,0">
                <w:txbxContent>
                  <w:p>
                    <w:pPr>
                      <w:spacing w:before="34"/>
                      <w:ind w:left="10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00</w:t>
                    </w:r>
                  </w:p>
                </w:txbxContent>
              </v:textbox>
              <v:stroke dashstyle="solid"/>
              <w10:wrap type="none"/>
            </v:shape>
            <v:shape style="position:absolute;left:796;top:293;width:7873;height:278" type="#_x0000_t202" filled="false" stroked="true" strokeweight=".731605pt" strokecolor="#000000">
              <v:textbox inset="0,0,0,0">
                <w:txbxContent>
                  <w:p>
                    <w:pPr>
                      <w:spacing w:before="34"/>
                      <w:ind w:left="10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Quantidade</w:t>
                    </w:r>
                    <w:r>
                      <w:rPr>
                        <w:spacing w:val="2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2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procedimentos</w:t>
                    </w:r>
                    <w:r>
                      <w:rPr>
                        <w:spacing w:val="2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iniciados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00" w:h="16840"/>
          <w:pgMar w:header="269" w:footer="253" w:top="540" w:bottom="440" w:left="560" w:right="500"/>
        </w:sectPr>
      </w:pPr>
    </w:p>
    <w:p>
      <w:pPr>
        <w:pStyle w:val="BodyText"/>
        <w:ind w:left="228"/>
        <w:rPr>
          <w:sz w:val="20"/>
        </w:rPr>
      </w:pPr>
      <w:r>
        <w:rPr>
          <w:sz w:val="20"/>
        </w:rPr>
        <w:pict>
          <v:group style="width:424.35pt;height:14.65pt;mso-position-horizontal-relative:char;mso-position-vertical-relative:line" coordorigin="0,0" coordsize="8487,293">
            <v:shape style="position:absolute;left:7879;top:7;width:600;height:278" type="#_x0000_t202" filled="false" stroked="true" strokeweight=".731605pt" strokecolor="#000000">
              <v:textbox inset="0,0,0,0">
                <w:txbxContent>
                  <w:p>
                    <w:pPr>
                      <w:spacing w:before="34"/>
                      <w:ind w:left="10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00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7873;height:278" type="#_x0000_t202" filled="false" stroked="true" strokeweight=".731605pt" strokecolor="#000000">
              <v:textbox inset="0,0,0,0">
                <w:txbxContent>
                  <w:p>
                    <w:pPr>
                      <w:spacing w:before="34"/>
                      <w:ind w:left="10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Quantidade</w:t>
                    </w:r>
                    <w:r>
                      <w:rPr>
                        <w:spacing w:val="2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2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procedimentos</w:t>
                    </w:r>
                    <w:r>
                      <w:rPr>
                        <w:spacing w:val="2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concluídos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spacing w:line="304" w:lineRule="auto" w:before="106"/>
        <w:ind w:left="214" w:right="505" w:firstLine="687"/>
      </w:pPr>
      <w:r>
        <w:rPr>
          <w:w w:val="105"/>
        </w:rPr>
        <w:t>Quanto</w:t>
      </w:r>
      <w:r>
        <w:rPr>
          <w:spacing w:val="-10"/>
          <w:w w:val="105"/>
        </w:rPr>
        <w:t> </w:t>
      </w:r>
      <w:r>
        <w:rPr>
          <w:w w:val="105"/>
        </w:rPr>
        <w:t>aos</w:t>
      </w:r>
      <w:r>
        <w:rPr>
          <w:spacing w:val="-9"/>
          <w:w w:val="105"/>
        </w:rPr>
        <w:t> </w:t>
      </w:r>
      <w:r>
        <w:rPr>
          <w:w w:val="105"/>
        </w:rPr>
        <w:t>benefícios,</w:t>
      </w:r>
      <w:r>
        <w:rPr>
          <w:spacing w:val="-10"/>
          <w:w w:val="105"/>
        </w:rPr>
        <w:t> </w:t>
      </w:r>
      <w:r>
        <w:rPr>
          <w:w w:val="105"/>
        </w:rPr>
        <w:t>com</w:t>
      </w:r>
      <w:r>
        <w:rPr>
          <w:spacing w:val="-9"/>
          <w:w w:val="105"/>
        </w:rPr>
        <w:t> </w:t>
      </w:r>
      <w:r>
        <w:rPr>
          <w:w w:val="105"/>
        </w:rPr>
        <w:t>base</w:t>
      </w:r>
      <w:r>
        <w:rPr>
          <w:spacing w:val="-9"/>
          <w:w w:val="105"/>
        </w:rPr>
        <w:t> </w:t>
      </w:r>
      <w:r>
        <w:rPr>
          <w:w w:val="105"/>
        </w:rPr>
        <w:t>nas</w:t>
      </w:r>
      <w:r>
        <w:rPr>
          <w:spacing w:val="-10"/>
          <w:w w:val="105"/>
        </w:rPr>
        <w:t> </w:t>
      </w:r>
      <w:r>
        <w:rPr>
          <w:w w:val="105"/>
        </w:rPr>
        <w:t>Portarias</w:t>
      </w:r>
      <w:r>
        <w:rPr>
          <w:spacing w:val="-9"/>
          <w:w w:val="105"/>
        </w:rPr>
        <w:t> </w:t>
      </w:r>
      <w:r>
        <w:rPr>
          <w:w w:val="105"/>
        </w:rPr>
        <w:t>CGU</w:t>
      </w:r>
      <w:r>
        <w:rPr>
          <w:spacing w:val="-9"/>
          <w:w w:val="105"/>
        </w:rPr>
        <w:t> </w:t>
      </w:r>
      <w:r>
        <w:rPr>
          <w:w w:val="105"/>
        </w:rPr>
        <w:t>1.276,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05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junho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2017;</w:t>
      </w:r>
      <w:r>
        <w:rPr>
          <w:spacing w:val="-10"/>
          <w:w w:val="105"/>
        </w:rPr>
        <w:t> </w:t>
      </w:r>
      <w:r>
        <w:rPr>
          <w:w w:val="105"/>
        </w:rPr>
        <w:t>4.104,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23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59"/>
          <w:w w:val="105"/>
        </w:rPr>
        <w:t> </w:t>
      </w:r>
      <w:r>
        <w:rPr>
          <w:w w:val="105"/>
        </w:rPr>
        <w:t>dezembro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2019;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1.361,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16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junho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2020,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AUDINT</w:t>
      </w:r>
      <w:r>
        <w:rPr>
          <w:spacing w:val="-4"/>
          <w:w w:val="105"/>
        </w:rPr>
        <w:t> </w:t>
      </w:r>
      <w:r>
        <w:rPr>
          <w:w w:val="105"/>
        </w:rPr>
        <w:t>informa</w:t>
      </w:r>
      <w:r>
        <w:rPr>
          <w:spacing w:val="-4"/>
          <w:w w:val="105"/>
        </w:rPr>
        <w:t> </w:t>
      </w:r>
      <w:r>
        <w:rPr>
          <w:w w:val="105"/>
        </w:rPr>
        <w:t>que: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04" w:lineRule="auto"/>
        <w:ind w:left="214" w:right="505" w:firstLine="687"/>
      </w:pPr>
      <w:r>
        <w:rPr>
          <w:w w:val="105"/>
        </w:rPr>
        <w:t>Desde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início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acompanhamento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AUDINT</w:t>
      </w:r>
      <w:r>
        <w:rPr>
          <w:spacing w:val="-11"/>
          <w:w w:val="105"/>
        </w:rPr>
        <w:t> </w:t>
      </w:r>
      <w:r>
        <w:rPr>
          <w:w w:val="105"/>
        </w:rPr>
        <w:t>até</w:t>
      </w:r>
      <w:r>
        <w:rPr>
          <w:spacing w:val="-12"/>
          <w:w w:val="105"/>
        </w:rPr>
        <w:t> </w:t>
      </w:r>
      <w:r>
        <w:rPr>
          <w:w w:val="105"/>
        </w:rPr>
        <w:t>28/10/2023,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acordo</w:t>
      </w:r>
      <w:r>
        <w:rPr>
          <w:spacing w:val="-11"/>
          <w:w w:val="105"/>
        </w:rPr>
        <w:t> </w:t>
      </w:r>
      <w:r>
        <w:rPr>
          <w:w w:val="105"/>
        </w:rPr>
        <w:t>com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classificação</w:t>
      </w:r>
      <w:r>
        <w:rPr>
          <w:spacing w:val="-11"/>
          <w:w w:val="105"/>
        </w:rPr>
        <w:t> </w:t>
      </w:r>
      <w:r>
        <w:rPr>
          <w:w w:val="105"/>
        </w:rPr>
        <w:t>prevista</w:t>
      </w:r>
      <w:r>
        <w:rPr>
          <w:spacing w:val="-12"/>
          <w:w w:val="105"/>
        </w:rPr>
        <w:t> </w:t>
      </w:r>
      <w:r>
        <w:rPr>
          <w:w w:val="105"/>
        </w:rPr>
        <w:t>na</w:t>
      </w:r>
      <w:r>
        <w:rPr>
          <w:spacing w:val="-59"/>
          <w:w w:val="105"/>
        </w:rPr>
        <w:t> </w:t>
      </w:r>
      <w:r>
        <w:rPr>
          <w:w w:val="105"/>
        </w:rPr>
        <w:t>Portaria</w:t>
      </w:r>
      <w:r>
        <w:rPr>
          <w:spacing w:val="-3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1.361,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16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junho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2020,</w:t>
      </w:r>
      <w:r>
        <w:rPr>
          <w:spacing w:val="-3"/>
          <w:w w:val="105"/>
        </w:rPr>
        <w:t> </w:t>
      </w:r>
      <w:r>
        <w:rPr>
          <w:w w:val="105"/>
        </w:rPr>
        <w:t>tem-se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seguinte: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6"/>
        <w:gridCol w:w="1595"/>
        <w:gridCol w:w="1258"/>
      </w:tblGrid>
      <w:tr>
        <w:trPr>
          <w:trHeight w:val="423" w:hRule="atLeast"/>
        </w:trPr>
        <w:tc>
          <w:tcPr>
            <w:tcW w:w="6336" w:type="dxa"/>
          </w:tcPr>
          <w:p>
            <w:pPr>
              <w:pStyle w:val="TableParagraph"/>
              <w:ind w:left="3055" w:right="219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Benefícios</w:t>
            </w:r>
          </w:p>
        </w:tc>
        <w:tc>
          <w:tcPr>
            <w:tcW w:w="1595" w:type="dxa"/>
          </w:tcPr>
          <w:p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Quantidade</w:t>
            </w:r>
          </w:p>
        </w:tc>
        <w:tc>
          <w:tcPr>
            <w:tcW w:w="1258" w:type="dxa"/>
          </w:tcPr>
          <w:p>
            <w:pPr>
              <w:pStyle w:val="TableParagraph"/>
              <w:ind w:left="3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Valor</w:t>
            </w:r>
          </w:p>
        </w:tc>
      </w:tr>
      <w:tr>
        <w:trPr>
          <w:trHeight w:val="263" w:hRule="atLeast"/>
        </w:trPr>
        <w:tc>
          <w:tcPr>
            <w:tcW w:w="6336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</w:t>
            </w:r>
            <w:r>
              <w:rPr>
                <w:b/>
                <w:spacing w:val="-1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Benefícios</w:t>
            </w:r>
            <w:r>
              <w:rPr>
                <w:b/>
                <w:spacing w:val="-1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financeiros</w:t>
            </w:r>
          </w:p>
        </w:tc>
        <w:tc>
          <w:tcPr>
            <w:tcW w:w="1595" w:type="dxa"/>
          </w:tcPr>
          <w:p>
            <w:pPr>
              <w:pStyle w:val="TableParagraph"/>
              <w:ind w:left="0" w:right="7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</w:t>
            </w:r>
          </w:p>
        </w:tc>
        <w:tc>
          <w:tcPr>
            <w:tcW w:w="1258" w:type="dxa"/>
          </w:tcPr>
          <w:p>
            <w:pPr>
              <w:pStyle w:val="TableParagraph"/>
              <w:ind w:left="0" w:right="1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R$449,68</w:t>
            </w:r>
          </w:p>
        </w:tc>
      </w:tr>
      <w:tr>
        <w:trPr>
          <w:trHeight w:val="263" w:hRule="atLeast"/>
        </w:trPr>
        <w:tc>
          <w:tcPr>
            <w:tcW w:w="633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1.1.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Penalidades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aplicadas</w:t>
            </w:r>
          </w:p>
        </w:tc>
        <w:tc>
          <w:tcPr>
            <w:tcW w:w="1595" w:type="dxa"/>
          </w:tcPr>
          <w:p>
            <w:pPr>
              <w:pStyle w:val="TableParagraph"/>
              <w:ind w:left="0" w:right="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  <w:tc>
          <w:tcPr>
            <w:tcW w:w="1258" w:type="dxa"/>
          </w:tcPr>
          <w:p>
            <w:pPr>
              <w:pStyle w:val="TableParagraph"/>
              <w:ind w:left="0"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R$449,68</w:t>
            </w:r>
          </w:p>
        </w:tc>
      </w:tr>
      <w:tr>
        <w:trPr>
          <w:trHeight w:val="263" w:hRule="atLeast"/>
        </w:trPr>
        <w:tc>
          <w:tcPr>
            <w:tcW w:w="633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1.1.2.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Suspensão</w:t>
            </w:r>
          </w:p>
        </w:tc>
        <w:tc>
          <w:tcPr>
            <w:tcW w:w="1595" w:type="dxa"/>
          </w:tcPr>
          <w:p>
            <w:pPr>
              <w:pStyle w:val="TableParagraph"/>
              <w:ind w:left="0" w:right="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  <w:tc>
          <w:tcPr>
            <w:tcW w:w="1258" w:type="dxa"/>
          </w:tcPr>
          <w:p>
            <w:pPr>
              <w:pStyle w:val="TableParagraph"/>
              <w:ind w:left="0"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R$449,68</w:t>
            </w:r>
          </w:p>
        </w:tc>
      </w:tr>
      <w:tr>
        <w:trPr>
          <w:trHeight w:val="263" w:hRule="atLeast"/>
        </w:trPr>
        <w:tc>
          <w:tcPr>
            <w:tcW w:w="6336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</w:t>
            </w:r>
            <w:r>
              <w:rPr>
                <w:b/>
                <w:spacing w:val="-1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Benefícios</w:t>
            </w:r>
            <w:r>
              <w:rPr>
                <w:b/>
                <w:spacing w:val="-1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não</w:t>
            </w:r>
            <w:r>
              <w:rPr>
                <w:b/>
                <w:spacing w:val="-1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financeiros</w:t>
            </w:r>
          </w:p>
        </w:tc>
        <w:tc>
          <w:tcPr>
            <w:tcW w:w="1595" w:type="dxa"/>
          </w:tcPr>
          <w:p>
            <w:pPr>
              <w:pStyle w:val="TableParagraph"/>
              <w:ind w:left="0" w:right="7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</w:t>
            </w:r>
          </w:p>
        </w:tc>
        <w:tc>
          <w:tcPr>
            <w:tcW w:w="1258" w:type="dxa"/>
          </w:tcPr>
          <w:p>
            <w:pPr>
              <w:pStyle w:val="TableParagraph"/>
              <w:ind w:left="0" w:right="1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R$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633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2.1.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Processos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correcionais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instaurados</w:t>
            </w:r>
          </w:p>
        </w:tc>
        <w:tc>
          <w:tcPr>
            <w:tcW w:w="1595" w:type="dxa"/>
          </w:tcPr>
          <w:p>
            <w:pPr>
              <w:pStyle w:val="TableParagraph"/>
              <w:ind w:left="0" w:right="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258" w:type="dxa"/>
          </w:tcPr>
          <w:p>
            <w:pPr>
              <w:pStyle w:val="TableParagraph"/>
              <w:ind w:left="0"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633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2.2.</w:t>
            </w:r>
            <w:r>
              <w:rPr>
                <w:spacing w:val="-1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Termos</w:t>
            </w:r>
            <w:r>
              <w:rPr>
                <w:spacing w:val="-1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Ajustamento</w:t>
            </w:r>
            <w:r>
              <w:rPr>
                <w:spacing w:val="-1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Conduta</w:t>
            </w:r>
            <w:r>
              <w:rPr>
                <w:spacing w:val="-1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(TACs)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firmados</w:t>
            </w:r>
          </w:p>
        </w:tc>
        <w:tc>
          <w:tcPr>
            <w:tcW w:w="1595" w:type="dxa"/>
          </w:tcPr>
          <w:p>
            <w:pPr>
              <w:pStyle w:val="TableParagraph"/>
              <w:ind w:left="0" w:right="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  <w:tc>
          <w:tcPr>
            <w:tcW w:w="1258" w:type="dxa"/>
          </w:tcPr>
          <w:p>
            <w:pPr>
              <w:pStyle w:val="TableParagraph"/>
              <w:ind w:left="0"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0,00</w:t>
            </w:r>
          </w:p>
        </w:tc>
      </w:tr>
      <w:tr>
        <w:trPr>
          <w:trHeight w:val="526" w:hRule="atLeast"/>
        </w:trPr>
        <w:tc>
          <w:tcPr>
            <w:tcW w:w="633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2.4.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Penalidades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aplicadas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(quando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não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possível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contabilização</w:t>
            </w:r>
          </w:p>
          <w:p>
            <w:pPr>
              <w:pStyle w:val="TableParagraph"/>
              <w:spacing w:before="57"/>
              <w:rPr>
                <w:sz w:val="17"/>
              </w:rPr>
            </w:pPr>
            <w:r>
              <w:rPr>
                <w:w w:val="105"/>
                <w:sz w:val="17"/>
              </w:rPr>
              <w:t>dos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benefícios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financeiros)</w:t>
            </w:r>
          </w:p>
        </w:tc>
        <w:tc>
          <w:tcPr>
            <w:tcW w:w="1595" w:type="dxa"/>
          </w:tcPr>
          <w:p>
            <w:pPr>
              <w:pStyle w:val="TableParagraph"/>
              <w:ind w:left="0" w:right="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</w:p>
        </w:tc>
        <w:tc>
          <w:tcPr>
            <w:tcW w:w="1258" w:type="dxa"/>
          </w:tcPr>
          <w:p>
            <w:pPr>
              <w:pStyle w:val="TableParagraph"/>
              <w:ind w:left="0"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33.602837pt;margin-top:16.215595pt;width:527.5pt;height:1.5pt;mso-position-horizontal-relative:page;mso-position-vertical-relative:paragraph;z-index:-15727616;mso-wrap-distance-left:0;mso-wrap-distance-right:0" coordorigin="672,324" coordsize="10550,30">
            <v:rect style="position:absolute;left:672;top:324;width:10550;height:15" filled="true" fillcolor="#999999" stroked="false">
              <v:fill type="solid"/>
            </v:rect>
            <v:shape style="position:absolute;left:672;top:324;width:10550;height:30" coordorigin="672,324" coordsize="10550,30" path="m11222,324l11207,339,672,339,672,354,11207,354,11222,354,11222,339,11222,324xe" filled="true" fillcolor="#ededed" stroked="false">
              <v:path arrowok="t"/>
              <v:fill type="solid"/>
            </v:shape>
            <v:shape style="position:absolute;left:672;top:324;width:15;height:30" coordorigin="672,324" coordsize="15,30" path="m672,354l672,324,687,324,687,339,672,35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7" w:lineRule="auto" w:before="78" w:after="37"/>
        <w:ind w:left="1897" w:right="348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Documento assinado eletronicamente por </w:t>
      </w:r>
      <w:r>
        <w:rPr>
          <w:rFonts w:ascii="Calibri" w:hAnsi="Calibri"/>
          <w:b/>
          <w:sz w:val="21"/>
        </w:rPr>
        <w:t>Theury Gomes de Oliveira Gonçalves</w:t>
      </w:r>
      <w:r>
        <w:rPr>
          <w:rFonts w:ascii="Calibri" w:hAnsi="Calibri"/>
          <w:sz w:val="21"/>
        </w:rPr>
        <w:t>, </w:t>
      </w:r>
      <w:r>
        <w:rPr>
          <w:rFonts w:ascii="Calibri" w:hAnsi="Calibri"/>
          <w:b/>
          <w:sz w:val="21"/>
        </w:rPr>
        <w:t>Coordenador(a)</w:t>
      </w:r>
      <w:r>
        <w:rPr>
          <w:rFonts w:ascii="Calibri" w:hAnsi="Calibri"/>
          <w:sz w:val="21"/>
        </w:rPr>
        <w:t>,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em 01/12/2023, às 17:53, conforme horário oficial de Brasília, com fundamento no art. 3°, inciso V,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da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Portaria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nº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446/2015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do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Ministério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dos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Transportes.</w:t>
      </w:r>
    </w:p>
    <w:p>
      <w:pPr>
        <w:pStyle w:val="BodyText"/>
        <w:spacing w:line="29" w:lineRule="exact"/>
        <w:ind w:left="112"/>
        <w:rPr>
          <w:rFonts w:ascii="Calibri"/>
          <w:sz w:val="2"/>
        </w:rPr>
      </w:pPr>
      <w:r>
        <w:rPr>
          <w:rFonts w:ascii="Calibri"/>
          <w:position w:val="0"/>
          <w:sz w:val="2"/>
        </w:rPr>
        <w:pict>
          <v:group style="width:527.5pt;height:1.5pt;mso-position-horizontal-relative:char;mso-position-vertical-relative:line" coordorigin="0,0" coordsize="10550,30">
            <v:rect style="position:absolute;left:0;top:0;width:10550;height:15" filled="true" fillcolor="#999999" stroked="false">
              <v:fill type="solid"/>
            </v:rect>
            <v:shape style="position:absolute;left:-1;top:0;width:10550;height:30" coordorigin="0,0" coordsize="10550,30" path="m10550,0l10535,15,0,15,0,29,10535,29,10550,29,10550,15,10550,0xe" filled="true" fillcolor="#ededed" stroked="false">
              <v:path arrowok="t"/>
              <v:fill type="solid"/>
            </v:shape>
            <v:shape style="position:absolute;left:0;top:0;width:15;height:30" coordorigin="0,0" coordsize="15,30" path="m0,29l0,0,15,0,15,15,0,29xe" filled="true" fillcolor="#999999" stroked="false">
              <v:path arrowok="t"/>
              <v:fill type="solid"/>
            </v:shape>
          </v:group>
        </w:pict>
      </w:r>
      <w:r>
        <w:rPr>
          <w:rFonts w:ascii="Calibri"/>
          <w:position w:val="0"/>
          <w:sz w:val="2"/>
        </w:rPr>
      </w:r>
    </w:p>
    <w:p>
      <w:pPr>
        <w:spacing w:line="247" w:lineRule="auto" w:before="107"/>
        <w:ind w:left="1897" w:right="67" w:firstLine="0"/>
        <w:jc w:val="left"/>
        <w:rPr>
          <w:rFonts w:ascii="Calibri" w:hAnsi="Calibri"/>
          <w:sz w:val="21"/>
        </w:rPr>
      </w:pPr>
      <w:r>
        <w:rPr/>
        <w:pict>
          <v:group style="position:absolute;margin-left:33.602837pt;margin-top:46.806633pt;width:527.5pt;height:1.5pt;mso-position-horizontal-relative:page;mso-position-vertical-relative:paragraph;z-index:-15726592;mso-wrap-distance-left:0;mso-wrap-distance-right:0" coordorigin="672,936" coordsize="10550,30">
            <v:rect style="position:absolute;left:672;top:936;width:10550;height:15" filled="true" fillcolor="#999999" stroked="false">
              <v:fill type="solid"/>
            </v:rect>
            <v:shape style="position:absolute;left:672;top:936;width:10550;height:30" coordorigin="672,936" coordsize="10550,30" path="m11222,936l11207,951,672,951,672,965,11207,965,11222,965,11222,951,11222,936xe" filled="true" fillcolor="#ededed" stroked="false">
              <v:path arrowok="t"/>
              <v:fill type="solid"/>
            </v:shape>
            <v:shape style="position:absolute;left:672;top:936;width:15;height:30" coordorigin="672,936" coordsize="15,30" path="m672,965l672,936,687,936,687,951,672,965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454630</wp:posOffset>
            </wp:positionH>
            <wp:positionV relativeFrom="paragraph">
              <wp:posOffset>-548396</wp:posOffset>
            </wp:positionV>
            <wp:extent cx="1068508" cy="46456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08" cy="46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454630</wp:posOffset>
            </wp:positionH>
            <wp:positionV relativeFrom="paragraph">
              <wp:posOffset>64834</wp:posOffset>
            </wp:positionV>
            <wp:extent cx="1068508" cy="464569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08" cy="46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1"/>
        </w:rPr>
        <w:t>Documento</w:t>
      </w:r>
      <w:r>
        <w:rPr>
          <w:rFonts w:ascii="Calibri" w:hAnsi="Calibri"/>
          <w:spacing w:val="5"/>
          <w:sz w:val="21"/>
        </w:rPr>
        <w:t> </w:t>
      </w:r>
      <w:r>
        <w:rPr>
          <w:rFonts w:ascii="Calibri" w:hAnsi="Calibri"/>
          <w:sz w:val="21"/>
        </w:rPr>
        <w:t>assinado</w:t>
      </w:r>
      <w:r>
        <w:rPr>
          <w:rFonts w:ascii="Calibri" w:hAnsi="Calibri"/>
          <w:spacing w:val="5"/>
          <w:sz w:val="21"/>
        </w:rPr>
        <w:t> </w:t>
      </w:r>
      <w:r>
        <w:rPr>
          <w:rFonts w:ascii="Calibri" w:hAnsi="Calibri"/>
          <w:sz w:val="21"/>
        </w:rPr>
        <w:t>eletronicamente</w:t>
      </w:r>
      <w:r>
        <w:rPr>
          <w:rFonts w:ascii="Calibri" w:hAnsi="Calibri"/>
          <w:spacing w:val="5"/>
          <w:sz w:val="21"/>
        </w:rPr>
        <w:t> </w:t>
      </w:r>
      <w:r>
        <w:rPr>
          <w:rFonts w:ascii="Calibri" w:hAnsi="Calibri"/>
          <w:sz w:val="21"/>
        </w:rPr>
        <w:t>por</w:t>
      </w:r>
      <w:r>
        <w:rPr>
          <w:rFonts w:ascii="Calibri" w:hAnsi="Calibri"/>
          <w:spacing w:val="5"/>
          <w:sz w:val="21"/>
        </w:rPr>
        <w:t> </w:t>
      </w:r>
      <w:r>
        <w:rPr>
          <w:rFonts w:ascii="Calibri" w:hAnsi="Calibri"/>
          <w:b/>
          <w:sz w:val="21"/>
        </w:rPr>
        <w:t>Mayara</w:t>
      </w:r>
      <w:r>
        <w:rPr>
          <w:rFonts w:ascii="Calibri" w:hAnsi="Calibri"/>
          <w:b/>
          <w:spacing w:val="5"/>
          <w:sz w:val="21"/>
        </w:rPr>
        <w:t> </w:t>
      </w:r>
      <w:r>
        <w:rPr>
          <w:rFonts w:ascii="Calibri" w:hAnsi="Calibri"/>
          <w:b/>
          <w:sz w:val="21"/>
        </w:rPr>
        <w:t>Brenda</w:t>
      </w:r>
      <w:r>
        <w:rPr>
          <w:rFonts w:ascii="Calibri" w:hAnsi="Calibri"/>
          <w:b/>
          <w:spacing w:val="5"/>
          <w:sz w:val="21"/>
        </w:rPr>
        <w:t> </w:t>
      </w:r>
      <w:r>
        <w:rPr>
          <w:rFonts w:ascii="Calibri" w:hAnsi="Calibri"/>
          <w:b/>
          <w:sz w:val="21"/>
        </w:rPr>
        <w:t>Sousa</w:t>
      </w:r>
      <w:r>
        <w:rPr>
          <w:rFonts w:ascii="Calibri" w:hAnsi="Calibri"/>
          <w:b/>
          <w:spacing w:val="6"/>
          <w:sz w:val="21"/>
        </w:rPr>
        <w:t> </w:t>
      </w:r>
      <w:r>
        <w:rPr>
          <w:rFonts w:ascii="Calibri" w:hAnsi="Calibri"/>
          <w:b/>
          <w:sz w:val="21"/>
        </w:rPr>
        <w:t>do</w:t>
      </w:r>
      <w:r>
        <w:rPr>
          <w:rFonts w:ascii="Calibri" w:hAnsi="Calibri"/>
          <w:b/>
          <w:spacing w:val="5"/>
          <w:sz w:val="21"/>
        </w:rPr>
        <w:t> </w:t>
      </w:r>
      <w:r>
        <w:rPr>
          <w:rFonts w:ascii="Calibri" w:hAnsi="Calibri"/>
          <w:b/>
          <w:sz w:val="21"/>
        </w:rPr>
        <w:t>Nascimento</w:t>
      </w:r>
      <w:r>
        <w:rPr>
          <w:rFonts w:ascii="Calibri" w:hAnsi="Calibri"/>
          <w:sz w:val="21"/>
        </w:rPr>
        <w:t>,</w:t>
      </w:r>
      <w:r>
        <w:rPr>
          <w:rFonts w:ascii="Calibri" w:hAnsi="Calibri"/>
          <w:spacing w:val="5"/>
          <w:sz w:val="21"/>
        </w:rPr>
        <w:t> </w:t>
      </w:r>
      <w:r>
        <w:rPr>
          <w:rFonts w:ascii="Calibri" w:hAnsi="Calibri"/>
          <w:b/>
          <w:sz w:val="21"/>
        </w:rPr>
        <w:t>Função</w:t>
      </w:r>
      <w:r>
        <w:rPr>
          <w:rFonts w:ascii="Calibri" w:hAnsi="Calibri"/>
          <w:b/>
          <w:spacing w:val="1"/>
          <w:sz w:val="21"/>
        </w:rPr>
        <w:t> </w:t>
      </w:r>
      <w:r>
        <w:rPr>
          <w:rFonts w:ascii="Calibri" w:hAnsi="Calibri"/>
          <w:b/>
          <w:sz w:val="21"/>
        </w:rPr>
        <w:t>Comissionada</w:t>
      </w:r>
      <w:r>
        <w:rPr>
          <w:rFonts w:ascii="Calibri" w:hAnsi="Calibri"/>
          <w:b/>
          <w:spacing w:val="10"/>
          <w:sz w:val="21"/>
        </w:rPr>
        <w:t> </w:t>
      </w:r>
      <w:r>
        <w:rPr>
          <w:rFonts w:ascii="Calibri" w:hAnsi="Calibri"/>
          <w:b/>
          <w:sz w:val="21"/>
        </w:rPr>
        <w:t>I</w:t>
      </w:r>
      <w:r>
        <w:rPr>
          <w:rFonts w:ascii="Calibri" w:hAnsi="Calibri"/>
          <w:sz w:val="21"/>
        </w:rPr>
        <w:t>,</w:t>
      </w:r>
      <w:r>
        <w:rPr>
          <w:rFonts w:ascii="Calibri" w:hAnsi="Calibri"/>
          <w:spacing w:val="11"/>
          <w:sz w:val="21"/>
        </w:rPr>
        <w:t> </w:t>
      </w:r>
      <w:r>
        <w:rPr>
          <w:rFonts w:ascii="Calibri" w:hAnsi="Calibri"/>
          <w:sz w:val="21"/>
        </w:rPr>
        <w:t>em</w:t>
      </w:r>
      <w:r>
        <w:rPr>
          <w:rFonts w:ascii="Calibri" w:hAnsi="Calibri"/>
          <w:spacing w:val="10"/>
          <w:sz w:val="21"/>
        </w:rPr>
        <w:t> </w:t>
      </w:r>
      <w:r>
        <w:rPr>
          <w:rFonts w:ascii="Calibri" w:hAnsi="Calibri"/>
          <w:sz w:val="21"/>
        </w:rPr>
        <w:t>01/12/2023,</w:t>
      </w:r>
      <w:r>
        <w:rPr>
          <w:rFonts w:ascii="Calibri" w:hAnsi="Calibri"/>
          <w:spacing w:val="11"/>
          <w:sz w:val="21"/>
        </w:rPr>
        <w:t> </w:t>
      </w:r>
      <w:r>
        <w:rPr>
          <w:rFonts w:ascii="Calibri" w:hAnsi="Calibri"/>
          <w:sz w:val="21"/>
        </w:rPr>
        <w:t>às</w:t>
      </w:r>
      <w:r>
        <w:rPr>
          <w:rFonts w:ascii="Calibri" w:hAnsi="Calibri"/>
          <w:spacing w:val="10"/>
          <w:sz w:val="21"/>
        </w:rPr>
        <w:t> </w:t>
      </w:r>
      <w:r>
        <w:rPr>
          <w:rFonts w:ascii="Calibri" w:hAnsi="Calibri"/>
          <w:sz w:val="21"/>
        </w:rPr>
        <w:t>17:59,</w:t>
      </w:r>
      <w:r>
        <w:rPr>
          <w:rFonts w:ascii="Calibri" w:hAnsi="Calibri"/>
          <w:spacing w:val="11"/>
          <w:sz w:val="21"/>
        </w:rPr>
        <w:t> </w:t>
      </w:r>
      <w:r>
        <w:rPr>
          <w:rFonts w:ascii="Calibri" w:hAnsi="Calibri"/>
          <w:sz w:val="21"/>
        </w:rPr>
        <w:t>conforme</w:t>
      </w:r>
      <w:r>
        <w:rPr>
          <w:rFonts w:ascii="Calibri" w:hAnsi="Calibri"/>
          <w:spacing w:val="11"/>
          <w:sz w:val="21"/>
        </w:rPr>
        <w:t> </w:t>
      </w:r>
      <w:r>
        <w:rPr>
          <w:rFonts w:ascii="Calibri" w:hAnsi="Calibri"/>
          <w:sz w:val="21"/>
        </w:rPr>
        <w:t>horário</w:t>
      </w:r>
      <w:r>
        <w:rPr>
          <w:rFonts w:ascii="Calibri" w:hAnsi="Calibri"/>
          <w:spacing w:val="10"/>
          <w:sz w:val="21"/>
        </w:rPr>
        <w:t> </w:t>
      </w:r>
      <w:r>
        <w:rPr>
          <w:rFonts w:ascii="Calibri" w:hAnsi="Calibri"/>
          <w:sz w:val="21"/>
        </w:rPr>
        <w:t>oficial</w:t>
      </w:r>
      <w:r>
        <w:rPr>
          <w:rFonts w:ascii="Calibri" w:hAnsi="Calibri"/>
          <w:spacing w:val="11"/>
          <w:sz w:val="21"/>
        </w:rPr>
        <w:t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0"/>
          <w:sz w:val="21"/>
        </w:rPr>
        <w:t> </w:t>
      </w:r>
      <w:r>
        <w:rPr>
          <w:rFonts w:ascii="Calibri" w:hAnsi="Calibri"/>
          <w:sz w:val="21"/>
        </w:rPr>
        <w:t>Brasília,</w:t>
      </w:r>
      <w:r>
        <w:rPr>
          <w:rFonts w:ascii="Calibri" w:hAnsi="Calibri"/>
          <w:spacing w:val="11"/>
          <w:sz w:val="21"/>
        </w:rPr>
        <w:t> </w:t>
      </w:r>
      <w:r>
        <w:rPr>
          <w:rFonts w:ascii="Calibri" w:hAnsi="Calibri"/>
          <w:sz w:val="21"/>
        </w:rPr>
        <w:t>com</w:t>
      </w:r>
      <w:r>
        <w:rPr>
          <w:rFonts w:ascii="Calibri" w:hAnsi="Calibri"/>
          <w:spacing w:val="11"/>
          <w:sz w:val="21"/>
        </w:rPr>
        <w:t> </w:t>
      </w:r>
      <w:r>
        <w:rPr>
          <w:rFonts w:ascii="Calibri" w:hAnsi="Calibri"/>
          <w:sz w:val="21"/>
        </w:rPr>
        <w:t>fundamento</w:t>
      </w:r>
      <w:r>
        <w:rPr>
          <w:rFonts w:ascii="Calibri" w:hAnsi="Calibri"/>
          <w:spacing w:val="10"/>
          <w:sz w:val="21"/>
        </w:rPr>
        <w:t> </w:t>
      </w:r>
      <w:r>
        <w:rPr>
          <w:rFonts w:ascii="Calibri" w:hAnsi="Calibri"/>
          <w:sz w:val="21"/>
        </w:rPr>
        <w:t>no</w:t>
      </w:r>
      <w:r>
        <w:rPr>
          <w:rFonts w:ascii="Calibri" w:hAnsi="Calibri"/>
          <w:spacing w:val="-44"/>
          <w:sz w:val="21"/>
        </w:rPr>
        <w:t> </w:t>
      </w:r>
      <w:r>
        <w:rPr>
          <w:rFonts w:ascii="Calibri" w:hAnsi="Calibri"/>
          <w:sz w:val="21"/>
        </w:rPr>
        <w:t>art.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3°,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inciso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V,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da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Portaria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nº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446/2015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do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Ministério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dos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Transportes.</w:t>
      </w:r>
    </w:p>
    <w:p>
      <w:pPr>
        <w:pStyle w:val="BodyText"/>
        <w:spacing w:before="9"/>
        <w:rPr>
          <w:rFonts w:ascii="Calibri"/>
          <w:sz w:val="14"/>
        </w:rPr>
      </w:pPr>
    </w:p>
    <w:p>
      <w:pPr>
        <w:pStyle w:val="Heading1"/>
        <w:spacing w:line="247" w:lineRule="auto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473212</wp:posOffset>
            </wp:positionH>
            <wp:positionV relativeFrom="paragraph">
              <wp:posOffset>-48933</wp:posOffset>
            </wp:positionV>
            <wp:extent cx="761893" cy="76189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93" cy="76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1"/>
        </w:rPr>
        <w:t> </w:t>
      </w:r>
      <w:r>
        <w:rPr/>
        <w:t>autenticidade</w:t>
      </w:r>
      <w:r>
        <w:rPr>
          <w:spacing w:val="2"/>
        </w:rPr>
        <w:t> </w:t>
      </w:r>
      <w:r>
        <w:rPr/>
        <w:t>deste</w:t>
      </w:r>
      <w:r>
        <w:rPr>
          <w:spacing w:val="2"/>
        </w:rPr>
        <w:t> </w:t>
      </w:r>
      <w:r>
        <w:rPr/>
        <w:t>documento</w:t>
      </w:r>
      <w:r>
        <w:rPr>
          <w:spacing w:val="2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2"/>
        </w:rPr>
        <w:t> </w:t>
      </w:r>
      <w:r>
        <w:rPr/>
        <w:t>conferida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site</w:t>
      </w:r>
      <w:r>
        <w:rPr>
          <w:spacing w:val="1"/>
        </w:rPr>
        <w:t> </w:t>
      </w:r>
      <w:r>
        <w:rPr/>
        <w:t>https://super.transportes.gov.br/sei/controlador_externo.php?</w:t>
      </w:r>
      <w:r>
        <w:rPr>
          <w:spacing w:val="1"/>
        </w:rPr>
        <w:t> </w:t>
      </w:r>
      <w:r>
        <w:rPr/>
        <w:t>acao=documento_conferir&amp;acao_origem=documento_conferir&amp;lang=pt_BR&amp;id_orgao_acesso_externo=0,</w:t>
      </w:r>
      <w:r>
        <w:rPr>
          <w:spacing w:val="1"/>
        </w:rPr>
        <w:t> </w:t>
      </w:r>
      <w:r>
        <w:rPr/>
        <w:t>informando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código</w:t>
      </w:r>
      <w:r>
        <w:rPr>
          <w:spacing w:val="2"/>
        </w:rPr>
        <w:t> </w:t>
      </w:r>
      <w:r>
        <w:rPr/>
        <w:t>verificador</w:t>
      </w:r>
      <w:r>
        <w:rPr>
          <w:spacing w:val="2"/>
        </w:rPr>
        <w:t> </w:t>
      </w:r>
      <w:r>
        <w:rPr>
          <w:b/>
        </w:rPr>
        <w:t>7817933</w:t>
      </w:r>
      <w:r>
        <w:rPr>
          <w:b/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código</w:t>
      </w:r>
      <w:r>
        <w:rPr>
          <w:spacing w:val="2"/>
        </w:rPr>
        <w:t> </w:t>
      </w:r>
      <w:r>
        <w:rPr/>
        <w:t>CRC</w:t>
      </w:r>
      <w:r>
        <w:rPr>
          <w:spacing w:val="2"/>
        </w:rPr>
        <w:t> </w:t>
      </w:r>
      <w:r>
        <w:rPr>
          <w:b/>
        </w:rPr>
        <w:t>0BB85148</w:t>
      </w:r>
      <w:r>
        <w:rPr/>
        <w:t>.</w:t>
      </w:r>
    </w:p>
    <w:p>
      <w:pPr>
        <w:pStyle w:val="BodyText"/>
        <w:spacing w:before="4"/>
        <w:rPr>
          <w:rFonts w:ascii="Calibri"/>
          <w:sz w:val="9"/>
        </w:rPr>
      </w:pPr>
      <w:r>
        <w:rPr/>
        <w:pict>
          <v:group style="position:absolute;margin-left:34.334442pt;margin-top:7.663139pt;width:526.050pt;height:1.5pt;mso-position-horizontal-relative:page;mso-position-vertical-relative:paragraph;z-index:-15726080;mso-wrap-distance-left:0;mso-wrap-distance-right:0" coordorigin="687,153" coordsize="10521,30">
            <v:rect style="position:absolute;left:686;top:153;width:10521;height:15" filled="true" fillcolor="#999999" stroked="false">
              <v:fill type="solid"/>
            </v:rect>
            <v:shape style="position:absolute;left:686;top:153;width:10521;height:30" coordorigin="687,153" coordsize="10521,30" path="m11207,153l11193,168,687,168,687,183,11193,183,11207,183,11207,168,11207,153xe" filled="true" fillcolor="#ededed" stroked="false">
              <v:path arrowok="t"/>
              <v:fill type="solid"/>
            </v:shape>
            <v:shape style="position:absolute;left:686;top:153;width:15;height:30" coordorigin="687,153" coordsize="15,30" path="m687,183l687,153,701,153,701,168,687,183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066048pt;margin-top:26.684868pt;width:524.6pt;height:24.9pt;mso-position-horizontal-relative:page;mso-position-vertical-relative:paragraph;z-index:-15725568;mso-wrap-distance-left:0;mso-wrap-distance-right:0" coordorigin="701,534" coordsize="10492,498">
            <v:shape style="position:absolute;left:701;top:533;width:10492;height:44" coordorigin="701,534" coordsize="10492,44" path="m11193,563l701,563,701,578,11193,578,11193,563xm11193,534l701,534,701,548,11193,548,11193,534xe" filled="true" fillcolor="#333333" stroked="false">
              <v:path arrowok="t"/>
              <v:fill type="solid"/>
            </v:shape>
            <v:shape style="position:absolute;left:730;top:636;width:3600;height:396" type="#_x0000_t75" stroked="false">
              <v:imagedata r:id="rId10" o:title=""/>
            </v:shape>
            <v:shape style="position:absolute;left:9451;top:636;width:1698;height:396" type="#_x0000_t75" stroked="false">
              <v:imagedata r:id="rId11" o:title=""/>
            </v:shape>
            <w10:wrap type="topAndBottom"/>
          </v:group>
        </w:pic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tabs>
          <w:tab w:pos="9552" w:val="left" w:leader="none"/>
        </w:tabs>
        <w:spacing w:before="28"/>
        <w:ind w:left="141" w:right="0" w:firstLine="0"/>
        <w:jc w:val="left"/>
        <w:rPr>
          <w:rFonts w:ascii="Calibri" w:hAnsi="Calibri"/>
          <w:sz w:val="17"/>
        </w:rPr>
      </w:pPr>
      <w:r>
        <w:rPr>
          <w:rFonts w:ascii="Calibri" w:hAnsi="Calibri"/>
          <w:b/>
          <w:sz w:val="17"/>
        </w:rPr>
        <w:t>Referência:</w:t>
      </w:r>
      <w:r>
        <w:rPr>
          <w:rFonts w:ascii="Calibri" w:hAnsi="Calibri"/>
          <w:b/>
          <w:spacing w:val="17"/>
          <w:sz w:val="17"/>
        </w:rPr>
        <w:t> </w:t>
      </w:r>
      <w:r>
        <w:rPr>
          <w:rFonts w:ascii="Calibri" w:hAnsi="Calibri"/>
          <w:sz w:val="17"/>
        </w:rPr>
        <w:t>Processo</w:t>
      </w:r>
      <w:r>
        <w:rPr>
          <w:rFonts w:ascii="Calibri" w:hAnsi="Calibri"/>
          <w:spacing w:val="17"/>
          <w:sz w:val="17"/>
        </w:rPr>
        <w:t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17"/>
          <w:sz w:val="17"/>
        </w:rPr>
        <w:t> </w:t>
      </w:r>
      <w:r>
        <w:rPr>
          <w:rFonts w:ascii="Calibri" w:hAnsi="Calibri"/>
          <w:sz w:val="17"/>
        </w:rPr>
        <w:t>50900.000903/2021-58</w:t>
        <w:tab/>
      </w:r>
      <w:r>
        <w:rPr>
          <w:rFonts w:ascii="Calibri" w:hAnsi="Calibri"/>
          <w:w w:val="105"/>
          <w:sz w:val="17"/>
        </w:rPr>
        <w:t>SEI</w:t>
      </w:r>
      <w:r>
        <w:rPr>
          <w:rFonts w:ascii="Calibri" w:hAnsi="Calibri"/>
          <w:spacing w:val="-6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nº</w:t>
      </w:r>
      <w:r>
        <w:rPr>
          <w:rFonts w:ascii="Calibri" w:hAnsi="Calibri"/>
          <w:spacing w:val="-6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7817933</w:t>
      </w:r>
    </w:p>
    <w:p>
      <w:pPr>
        <w:pStyle w:val="BodyText"/>
        <w:spacing w:before="6"/>
        <w:rPr>
          <w:rFonts w:ascii="Calibri"/>
          <w:sz w:val="21"/>
        </w:rPr>
      </w:pPr>
    </w:p>
    <w:p>
      <w:pPr>
        <w:pStyle w:val="BodyText"/>
        <w:spacing w:line="237" w:lineRule="auto"/>
        <w:ind w:left="141" w:right="7238"/>
        <w:rPr>
          <w:rFonts w:ascii="Calibri" w:hAnsi="Calibri"/>
        </w:rPr>
      </w:pPr>
      <w:r>
        <w:rPr>
          <w:rFonts w:ascii="Calibri" w:hAnsi="Calibri"/>
          <w:spacing w:val="-1"/>
          <w:w w:val="105"/>
        </w:rPr>
        <w:t>Praça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spacing w:val="-1"/>
          <w:w w:val="105"/>
        </w:rPr>
        <w:t>Amigos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1"/>
          <w:w w:val="105"/>
        </w:rPr>
        <w:t>da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spacing w:val="-1"/>
          <w:w w:val="105"/>
        </w:rPr>
        <w:t>Marinha,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w w:val="105"/>
        </w:rPr>
        <w:t>S/N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w w:val="105"/>
        </w:rPr>
        <w:t>-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Bairro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w w:val="105"/>
        </w:rPr>
        <w:t>Mucuripe</w:t>
      </w:r>
      <w:r>
        <w:rPr>
          <w:rFonts w:ascii="Calibri" w:hAnsi="Calibri"/>
          <w:spacing w:val="-38"/>
          <w:w w:val="105"/>
        </w:rPr>
        <w:t> </w:t>
      </w:r>
      <w:r>
        <w:rPr>
          <w:rFonts w:ascii="Calibri" w:hAnsi="Calibri"/>
          <w:w w:val="105"/>
        </w:rPr>
        <w:t>Fortaleza/CE,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CEP</w:t>
      </w:r>
      <w:r>
        <w:rPr>
          <w:rFonts w:ascii="Calibri" w:hAnsi="Calibri"/>
          <w:spacing w:val="-2"/>
          <w:w w:val="105"/>
        </w:rPr>
        <w:t> </w:t>
      </w:r>
      <w:r>
        <w:rPr>
          <w:rFonts w:ascii="Calibri" w:hAnsi="Calibri"/>
          <w:w w:val="105"/>
        </w:rPr>
        <w:t>60.180-422</w:t>
      </w:r>
    </w:p>
    <w:p>
      <w:pPr>
        <w:pStyle w:val="BodyText"/>
        <w:spacing w:line="205" w:lineRule="exact"/>
        <w:ind w:left="141"/>
        <w:rPr>
          <w:rFonts w:ascii="Calibri"/>
        </w:rPr>
      </w:pPr>
      <w:r>
        <w:rPr>
          <w:rFonts w:ascii="Calibri"/>
        </w:rPr>
        <w:t>Telefone:</w:t>
      </w:r>
      <w:r>
        <w:rPr>
          <w:rFonts w:ascii="Calibri"/>
          <w:spacing w:val="19"/>
        </w:rPr>
        <w:t> </w:t>
      </w:r>
      <w:r>
        <w:rPr>
          <w:rFonts w:ascii="Calibri"/>
        </w:rPr>
        <w:t>8532668915</w:t>
      </w:r>
      <w:r>
        <w:rPr>
          <w:rFonts w:ascii="Calibri"/>
          <w:spacing w:val="19"/>
        </w:rPr>
        <w:t> </w:t>
      </w:r>
      <w:r>
        <w:rPr>
          <w:rFonts w:ascii="Calibri"/>
        </w:rPr>
        <w:t>-</w:t>
      </w:r>
      <w:r>
        <w:rPr>
          <w:rFonts w:ascii="Calibri"/>
          <w:spacing w:val="19"/>
        </w:rPr>
        <w:t> </w:t>
      </w:r>
      <w:hyperlink r:id="rId12">
        <w:r>
          <w:rPr>
            <w:rFonts w:ascii="Calibri"/>
          </w:rPr>
          <w:t>http://www.docasdoceara.com.br/</w:t>
        </w:r>
      </w:hyperlink>
    </w:p>
    <w:sectPr>
      <w:pgSz w:w="11900" w:h="16840"/>
      <w:pgMar w:header="269" w:footer="253" w:top="540" w:bottom="44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511717pt;margin-top:818.262329pt;width:522.5500pt;height:10.95pt;mso-position-horizontal-relative:page;mso-position-vertical-relative:page;z-index:-15947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pacing w:val="-1"/>
                    <w:sz w:val="16"/>
                  </w:rPr>
                  <w:t>https://super.transportes.gov.br/sei/controlador.php?acao=documento_imprimir_web&amp;acao_origem=arvore_visualizar&amp;id_documento=8553804&amp;i…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0781pt;margin-top:818.262329pt;width:18.150pt;height:10.95pt;mso-position-horizontal-relative:page;mso-position-vertical-relative:page;z-index:-1594675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11717pt;margin-top:13.512341pt;width:66.5pt;height:10.95pt;mso-position-horizontal-relative:page;mso-position-vertical-relative:page;z-index:-15948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19/12/2023,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17:17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496094pt;margin-top:13.512341pt;width:105.85pt;height:10.95pt;mso-position-horizontal-relative:page;mso-position-vertical-relative:page;z-index:-15947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SEI/MT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7817933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Relatório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11" w:hanging="249"/>
        <w:jc w:val="left"/>
      </w:pPr>
      <w:rPr>
        <w:rFonts w:hint="default" w:ascii="Verdana" w:hAnsi="Verdana" w:eastAsia="Verdana" w:cs="Verdana"/>
        <w:b/>
        <w:bCs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1" w:hanging="2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2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55" w:hanging="2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67" w:hanging="2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9" w:hanging="2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1" w:hanging="2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3" w:hanging="2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5" w:hanging="24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472"/>
      <w:outlineLvl w:val="1"/>
    </w:pPr>
    <w:rPr>
      <w:rFonts w:ascii="Calibri" w:hAnsi="Calibri" w:eastAsia="Calibri" w:cs="Calibri"/>
      <w:sz w:val="21"/>
      <w:szCs w:val="21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711" w:hanging="249"/>
      <w:outlineLvl w:val="2"/>
    </w:pPr>
    <w:rPr>
      <w:rFonts w:ascii="Verdana" w:hAnsi="Verdana" w:eastAsia="Verdana" w:cs="Verdana"/>
      <w:b/>
      <w:bCs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779" w:right="3842"/>
      <w:jc w:val="center"/>
    </w:pPr>
    <w:rPr>
      <w:rFonts w:ascii="Calibri" w:hAnsi="Calibri" w:eastAsia="Calibri" w:cs="Calibri"/>
      <w:b/>
      <w:bCs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11" w:hanging="249"/>
    </w:pPr>
    <w:rPr>
      <w:rFonts w:ascii="Verdana" w:hAnsi="Verdana" w:eastAsia="Verdana" w:cs="Verdan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109"/>
    </w:pPr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://www.docasdoceara.com.br/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2024-02-21T18:13:07Z</dcterms:created>
  <dcterms:modified xsi:type="dcterms:W3CDTF">2024-02-21T18:13:07Z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2024-02-21T00:00:00Z</vt:filetime>
  </property>
</Properties>
</file>