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15" w:right="16" w:firstLine="0"/>
        <w:jc w:val="center"/>
        <w:rPr>
          <w:sz w:val="26"/>
        </w:rPr>
      </w:pPr>
      <w:bookmarkStart w:name="Portaria 204 (10341917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204,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02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spacing w:before="245"/>
        <w:ind w:left="123" w:right="313" w:firstLine="0"/>
        <w:jc w:val="left"/>
        <w:rPr>
          <w:sz w:val="24"/>
        </w:rPr>
      </w:pPr>
      <w:r>
        <w:rPr>
          <w:b/>
          <w:sz w:val="24"/>
        </w:rPr>
        <w:t>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DIRETOR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PRESIDENTE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CEARÁ,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uso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9"/>
          <w:sz w:val="24"/>
        </w:rPr>
        <w:t> </w:t>
      </w:r>
      <w:r>
        <w:rPr>
          <w:sz w:val="24"/>
        </w:rPr>
        <w:t>atribuições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lhe confere o inciso XV, do Art. 75, do Estatuto Social da Empresa;</w:t>
      </w:r>
    </w:p>
    <w:p>
      <w:pPr>
        <w:pStyle w:val="BodyText"/>
        <w:rPr>
          <w:sz w:val="24"/>
        </w:rPr>
      </w:pPr>
    </w:p>
    <w:p>
      <w:pPr>
        <w:pStyle w:val="BodyText"/>
        <w:spacing w:before="76"/>
        <w:rPr>
          <w:sz w:val="24"/>
        </w:rPr>
      </w:pPr>
    </w:p>
    <w:p>
      <w:pPr>
        <w:spacing w:before="0"/>
        <w:ind w:left="25" w:right="16" w:firstLine="0"/>
        <w:jc w:val="center"/>
        <w:rPr>
          <w:b/>
          <w:sz w:val="24"/>
        </w:rPr>
      </w:pPr>
      <w:r>
        <w:rPr>
          <w:b/>
          <w:sz w:val="24"/>
        </w:rPr>
        <w:t>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0" w:firstLine="0"/>
        <w:jc w:val="both"/>
        <w:rPr>
          <w:sz w:val="24"/>
        </w:rPr>
      </w:pPr>
      <w:r>
        <w:rPr>
          <w:b/>
          <w:sz w:val="24"/>
        </w:rPr>
        <w:t>Art. 1° - Prorrogar</w:t>
      </w:r>
      <w:r>
        <w:rPr>
          <w:sz w:val="24"/>
        </w:rPr>
        <w:t>, por 60 (sessenta) dias, o prazo de apuração da comissão de sindicância composta pelos empregados</w:t>
      </w:r>
      <w:r>
        <w:rPr>
          <w:spacing w:val="-6"/>
          <w:sz w:val="24"/>
        </w:rPr>
        <w:t> </w:t>
      </w:r>
      <w:r>
        <w:rPr>
          <w:b/>
          <w:sz w:val="24"/>
        </w:rPr>
        <w:t>Alexsandro Silva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Araújo</w:t>
      </w:r>
      <w:r>
        <w:rPr>
          <w:b/>
          <w:spacing w:val="34"/>
          <w:sz w:val="24"/>
        </w:rPr>
        <w:t> </w:t>
      </w:r>
      <w:r>
        <w:rPr>
          <w:sz w:val="24"/>
        </w:rPr>
        <w:t>(Presidente),</w:t>
      </w:r>
      <w:r>
        <w:rPr>
          <w:spacing w:val="-4"/>
          <w:sz w:val="24"/>
        </w:rPr>
        <w:t> </w:t>
      </w:r>
      <w:r>
        <w:rPr>
          <w:b/>
          <w:sz w:val="24"/>
        </w:rPr>
        <w:t>Marcos Sávio Menezes Lourenço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b/>
          <w:sz w:val="24"/>
        </w:rPr>
        <w:t>Oswaldo George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Fontenele, </w:t>
      </w:r>
      <w:r>
        <w:rPr>
          <w:sz w:val="24"/>
        </w:rPr>
        <w:t>que tem por finalidade a </w:t>
      </w:r>
      <w:r>
        <w:rPr>
          <w:b/>
          <w:sz w:val="24"/>
        </w:rPr>
        <w:t>apuração de responsabilidade </w:t>
      </w:r>
      <w:r>
        <w:rPr>
          <w:sz w:val="24"/>
        </w:rPr>
        <w:t>acerca dos fatos relatados no </w:t>
      </w:r>
      <w:r>
        <w:rPr>
          <w:b/>
          <w:sz w:val="24"/>
        </w:rPr>
        <w:t>Parecer nº 14/2022/AUDINT-CDC/DIRPRE-CDC</w:t>
      </w:r>
      <w:r>
        <w:rPr>
          <w:b/>
          <w:spacing w:val="40"/>
          <w:sz w:val="24"/>
        </w:rPr>
        <w:t> </w:t>
      </w:r>
      <w:r>
        <w:rPr>
          <w:sz w:val="24"/>
        </w:rPr>
        <w:t>e na</w:t>
      </w:r>
      <w:r>
        <w:rPr>
          <w:spacing w:val="-4"/>
          <w:sz w:val="24"/>
        </w:rPr>
        <w:t> </w:t>
      </w:r>
      <w:r>
        <w:rPr>
          <w:b/>
          <w:sz w:val="24"/>
        </w:rPr>
        <w:t>Direção DIREXE nº 122/2022</w:t>
      </w:r>
      <w:r>
        <w:rPr>
          <w:sz w:val="24"/>
        </w:rPr>
        <w:t>, referentes à possível falha de planejamento que resultou na contratação emergencial, no âmbito do </w:t>
      </w:r>
      <w:r>
        <w:rPr>
          <w:b/>
          <w:sz w:val="24"/>
        </w:rPr>
        <w:t>juízo de responsabilidade (</w:t>
      </w:r>
      <w:r>
        <w:rPr>
          <w:sz w:val="24"/>
        </w:rPr>
        <w:t>Processo SEI 50900.001078/2022-90)</w:t>
      </w:r>
      <w:r>
        <w:rPr>
          <w:b/>
          <w:sz w:val="24"/>
        </w:rPr>
        <w:t>, </w:t>
      </w:r>
      <w:r>
        <w:rPr>
          <w:sz w:val="24"/>
        </w:rPr>
        <w:t>convalidando todos os atos praticados no período compreendido desde a edição da Portaria 27/2025.</w:t>
      </w:r>
    </w:p>
    <w:p>
      <w:pPr>
        <w:spacing w:before="107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DETERMINAR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Comissão</w:t>
      </w:r>
      <w:r>
        <w:rPr>
          <w:spacing w:val="-4"/>
          <w:sz w:val="24"/>
        </w:rPr>
        <w:t> </w:t>
      </w:r>
      <w:r>
        <w:rPr>
          <w:sz w:val="24"/>
        </w:rPr>
        <w:t>ora</w:t>
      </w:r>
      <w:r>
        <w:rPr>
          <w:spacing w:val="-4"/>
          <w:sz w:val="24"/>
        </w:rPr>
        <w:t> </w:t>
      </w:r>
      <w:r>
        <w:rPr>
          <w:sz w:val="24"/>
        </w:rPr>
        <w:t>instituída</w:t>
      </w:r>
      <w:r>
        <w:rPr>
          <w:spacing w:val="-4"/>
          <w:sz w:val="24"/>
        </w:rPr>
        <w:t> </w:t>
      </w:r>
      <w:r>
        <w:rPr>
          <w:sz w:val="24"/>
        </w:rPr>
        <w:t>conclua</w:t>
      </w:r>
      <w:r>
        <w:rPr>
          <w:spacing w:val="-4"/>
          <w:sz w:val="24"/>
        </w:rPr>
        <w:t> </w:t>
      </w:r>
      <w:r>
        <w:rPr>
          <w:sz w:val="24"/>
        </w:rPr>
        <w:t>os</w:t>
      </w:r>
      <w:r>
        <w:rPr>
          <w:spacing w:val="-4"/>
          <w:sz w:val="24"/>
        </w:rPr>
        <w:t> </w:t>
      </w:r>
      <w:r>
        <w:rPr>
          <w:sz w:val="24"/>
        </w:rPr>
        <w:t>trabalhos</w:t>
      </w:r>
      <w:r>
        <w:rPr>
          <w:spacing w:val="-4"/>
          <w:sz w:val="24"/>
        </w:rPr>
        <w:t> </w:t>
      </w:r>
      <w:r>
        <w:rPr>
          <w:sz w:val="24"/>
        </w:rPr>
        <w:t>conforme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prazo</w:t>
      </w:r>
      <w:r>
        <w:rPr>
          <w:spacing w:val="-4"/>
          <w:sz w:val="24"/>
        </w:rPr>
        <w:t> </w:t>
      </w:r>
      <w:r>
        <w:rPr>
          <w:sz w:val="24"/>
        </w:rPr>
        <w:t>estipulado no Art. 22 da Norma de Correição.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108"/>
        <w:rPr>
          <w:sz w:val="24"/>
        </w:rPr>
      </w:pPr>
    </w:p>
    <w:p>
      <w:pPr>
        <w:spacing w:before="0"/>
        <w:ind w:left="9" w:right="25" w:firstLine="0"/>
        <w:jc w:val="center"/>
        <w:rPr>
          <w:b/>
          <w:sz w:val="21"/>
        </w:rPr>
      </w:pPr>
      <w:r>
        <w:rPr>
          <w:b/>
          <w:sz w:val="21"/>
        </w:rPr>
        <w:t>LUCIO</w:t>
      </w:r>
      <w:r>
        <w:rPr>
          <w:b/>
          <w:spacing w:val="13"/>
          <w:sz w:val="21"/>
        </w:rPr>
        <w:t> </w:t>
      </w:r>
      <w:r>
        <w:rPr>
          <w:b/>
          <w:sz w:val="21"/>
        </w:rPr>
        <w:t>FERREIRA</w:t>
      </w:r>
      <w:r>
        <w:rPr>
          <w:b/>
          <w:spacing w:val="12"/>
          <w:sz w:val="21"/>
        </w:rPr>
        <w:t> </w:t>
      </w:r>
      <w:r>
        <w:rPr>
          <w:b/>
          <w:spacing w:val="-2"/>
          <w:sz w:val="21"/>
        </w:rPr>
        <w:t>GOMES</w:t>
      </w:r>
    </w:p>
    <w:p>
      <w:pPr>
        <w:spacing w:before="9"/>
        <w:ind w:left="9" w:right="19" w:firstLine="0"/>
        <w:jc w:val="center"/>
        <w:rPr>
          <w:b/>
          <w:sz w:val="21"/>
        </w:rPr>
      </w:pPr>
      <w:r>
        <w:rPr>
          <w:b/>
          <w:sz w:val="21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554303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1"/>
        </w:rPr>
        <w:t>Diretor</w:t>
      </w:r>
      <w:r>
        <w:rPr>
          <w:b/>
          <w:spacing w:val="9"/>
          <w:sz w:val="21"/>
        </w:rPr>
        <w:t> </w:t>
      </w:r>
      <w:r>
        <w:rPr>
          <w:b/>
          <w:spacing w:val="-2"/>
          <w:sz w:val="21"/>
        </w:rPr>
        <w:t>Presidente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9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173497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3.661201pt;width:525.85pt;height:1.2pt;mso-position-horizontal-relative:page;mso-position-vertical-relative:paragraph;z-index:-15728640;mso-wrap-distance-left:0;mso-wrap-distance-right:0" id="docshapegroup4" coordorigin="689,273" coordsize="10517,24">
                <v:shape style="position:absolute;left:689;top:273;width:10517;height:12" id="docshape5" coordorigin="689,273" coordsize="10517,12" path="m11194,285l689,285,689,273,11206,273,11194,285xe" filled="true" fillcolor="#999999" stroked="false">
                  <v:path arrowok="t"/>
                  <v:fill type="solid"/>
                </v:shape>
                <v:shape style="position:absolute;left:689;top:285;width:10517;height:12" id="docshape6" coordorigin="689,285" coordsize="10517,12" path="m11206,297l689,297,701,285,11206,285,11206,297xe" filled="true" fillcolor="#ededed" stroked="false">
                  <v:path arrowok="t"/>
                  <v:fill type="solid"/>
                </v:shape>
                <v:shape style="position:absolute;left:689;top:273;width:12;height:24" id="docshape7" coordorigin="689,273" coordsize="12,24" path="m689,297l689,273,701,273,701,285,689,297xe" filled="true" fillcolor="#999999" stroked="false">
                  <v:path arrowok="t"/>
                  <v:fill type="solid"/>
                </v:shape>
                <v:shape style="position:absolute;left:11193;top:273;width:12;height:24" id="docshape8" coordorigin="11194,273" coordsize="12,24" path="m11206,297l11194,297,11194,285,11206,273,11206,297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04/10/2025,</w:t>
      </w:r>
      <w:r>
        <w:rPr>
          <w:spacing w:val="40"/>
        </w:rPr>
        <w:t> </w:t>
      </w:r>
      <w:r>
        <w:rPr/>
        <w:t>às 14:00,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10341917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FD965C68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12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8" o:title=""/>
                </v:shape>
                <v:shape style="position:absolute;left:9220;top:427;width:1917;height:398" type="#_x0000_t75" id="docshape22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10341917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-1994285</wp:posOffset>
            </wp:positionV>
            <wp:extent cx="772461" cy="77246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204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(10341917)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350006pt;margin-top:821.947266pt;width:110.45pt;height:13.2pt;mso-position-horizontal-relative:page;mso-position-vertical-relative:page;z-index:-1577728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204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(10341917)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6768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176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779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2025-11-03T17:57:57Z</dcterms:created>
  <dcterms:modified xsi:type="dcterms:W3CDTF">2025-11-03T17:57:57Z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2025-10-14T00:00:00Z</vt:filetime>
  </property>
</Properties>
</file>