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D0076" w14:textId="4EA4C07D" w:rsidR="00940DE8" w:rsidRPr="00940DE8" w:rsidRDefault="00940DE8" w:rsidP="00940DE8">
      <w:pPr>
        <w:spacing w:line="360" w:lineRule="auto"/>
        <w:jc w:val="center"/>
        <w:rPr>
          <w:rFonts w:ascii="Arial" w:eastAsia="Arial MT" w:hAnsi="Arial" w:cs="Arial"/>
          <w:b/>
          <w:sz w:val="28"/>
          <w:szCs w:val="28"/>
          <w:lang w:val="pt-PT"/>
        </w:rPr>
      </w:pPr>
      <w:bookmarkStart w:id="0" w:name="_GoBack"/>
      <w:bookmarkEnd w:id="0"/>
      <w:r w:rsidRPr="00940DE8">
        <w:rPr>
          <w:rFonts w:ascii="Arial" w:eastAsia="Arial MT" w:hAnsi="Arial" w:cs="Arial"/>
          <w:b/>
          <w:noProof/>
          <w:sz w:val="28"/>
          <w:szCs w:val="28"/>
          <w:lang w:eastAsia="pt-BR"/>
        </w:rPr>
        <w:drawing>
          <wp:anchor distT="0" distB="0" distL="0" distR="0" simplePos="0" relativeHeight="251659264" behindDoc="1" locked="0" layoutInCell="1" allowOverlap="1" wp14:anchorId="217955A0" wp14:editId="3F01FF81">
            <wp:simplePos x="0" y="0"/>
            <wp:positionH relativeFrom="page">
              <wp:posOffset>3067050</wp:posOffset>
            </wp:positionH>
            <wp:positionV relativeFrom="page">
              <wp:posOffset>880745</wp:posOffset>
            </wp:positionV>
            <wp:extent cx="1447138" cy="970059"/>
            <wp:effectExtent l="0" t="0" r="1270" b="190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38" cy="97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10554A" w14:textId="77777777" w:rsidR="00940DE8" w:rsidRPr="00940DE8" w:rsidRDefault="00940DE8" w:rsidP="00940DE8">
      <w:pPr>
        <w:spacing w:line="360" w:lineRule="auto"/>
        <w:jc w:val="center"/>
        <w:rPr>
          <w:rFonts w:ascii="Arial" w:eastAsia="Arial MT" w:hAnsi="Arial" w:cs="Arial"/>
          <w:b/>
          <w:sz w:val="28"/>
          <w:szCs w:val="28"/>
          <w:lang w:val="pt-PT"/>
        </w:rPr>
      </w:pPr>
    </w:p>
    <w:p w14:paraId="1C6376DE" w14:textId="77777777" w:rsidR="00940DE8" w:rsidRPr="00940DE8" w:rsidRDefault="00940DE8" w:rsidP="00940DE8">
      <w:pPr>
        <w:spacing w:line="360" w:lineRule="auto"/>
        <w:jc w:val="center"/>
        <w:rPr>
          <w:rFonts w:ascii="Arial" w:eastAsia="Arial MT" w:hAnsi="Arial" w:cs="Arial"/>
          <w:b/>
          <w:sz w:val="28"/>
          <w:szCs w:val="28"/>
          <w:lang w:val="pt-PT"/>
        </w:rPr>
      </w:pPr>
    </w:p>
    <w:p w14:paraId="6CAC58A6" w14:textId="77777777" w:rsidR="00940DE8" w:rsidRPr="00940DE8" w:rsidRDefault="00940DE8" w:rsidP="00940DE8">
      <w:pPr>
        <w:spacing w:line="360" w:lineRule="auto"/>
        <w:jc w:val="center"/>
        <w:rPr>
          <w:rFonts w:ascii="Arial" w:eastAsia="Arial MT" w:hAnsi="Arial" w:cs="Arial"/>
          <w:b/>
          <w:sz w:val="28"/>
          <w:szCs w:val="28"/>
          <w:lang w:val="pt-PT"/>
        </w:rPr>
      </w:pPr>
    </w:p>
    <w:p w14:paraId="30C84C8A" w14:textId="4FC20118" w:rsidR="0068617F" w:rsidRPr="00940DE8" w:rsidRDefault="0068617F" w:rsidP="00940DE8">
      <w:pPr>
        <w:spacing w:line="360" w:lineRule="auto"/>
        <w:jc w:val="center"/>
        <w:rPr>
          <w:rFonts w:ascii="Arial" w:eastAsia="Arial MT" w:hAnsi="Arial" w:cs="Arial"/>
          <w:b/>
          <w:sz w:val="28"/>
          <w:szCs w:val="28"/>
          <w:lang w:val="pt-PT"/>
        </w:rPr>
      </w:pPr>
      <w:r w:rsidRPr="00940DE8">
        <w:rPr>
          <w:rFonts w:ascii="Arial" w:eastAsia="Arial MT" w:hAnsi="Arial" w:cs="Arial"/>
          <w:b/>
          <w:sz w:val="28"/>
          <w:szCs w:val="28"/>
          <w:lang w:val="pt-PT"/>
        </w:rPr>
        <w:t>RELATÓRIO DE INTEGRIDADE</w:t>
      </w:r>
    </w:p>
    <w:p w14:paraId="60B0CD88" w14:textId="278AF15F" w:rsidR="00940DE8" w:rsidRPr="00940DE8" w:rsidRDefault="00F97007" w:rsidP="00940DE8">
      <w:pPr>
        <w:spacing w:line="360" w:lineRule="auto"/>
        <w:jc w:val="center"/>
        <w:rPr>
          <w:rFonts w:ascii="Arial" w:eastAsia="Arial MT" w:hAnsi="Arial" w:cs="Arial"/>
          <w:b/>
          <w:sz w:val="28"/>
          <w:szCs w:val="28"/>
          <w:lang w:val="pt-PT"/>
        </w:rPr>
      </w:pPr>
      <w:r>
        <w:rPr>
          <w:rFonts w:ascii="Arial" w:eastAsia="Arial MT" w:hAnsi="Arial" w:cs="Arial"/>
          <w:b/>
          <w:sz w:val="28"/>
          <w:szCs w:val="28"/>
          <w:lang w:val="pt-PT"/>
        </w:rPr>
        <w:t>1º TRIMESTRE DE 2024</w:t>
      </w:r>
    </w:p>
    <w:p w14:paraId="50068D6F" w14:textId="3D6B5CEF" w:rsidR="0068617F" w:rsidRDefault="0068617F" w:rsidP="00940DE8">
      <w:pPr>
        <w:spacing w:line="360" w:lineRule="auto"/>
        <w:jc w:val="center"/>
        <w:rPr>
          <w:rFonts w:ascii="Arial" w:eastAsia="Arial MT" w:hAnsi="Arial" w:cs="Arial"/>
          <w:b/>
          <w:sz w:val="28"/>
          <w:szCs w:val="28"/>
          <w:lang w:val="pt-PT"/>
        </w:rPr>
      </w:pPr>
    </w:p>
    <w:p w14:paraId="5AD91D8E" w14:textId="5B7A8E3D" w:rsidR="00940DE8" w:rsidRDefault="00940DE8" w:rsidP="00940DE8">
      <w:pPr>
        <w:spacing w:line="360" w:lineRule="auto"/>
        <w:jc w:val="center"/>
        <w:rPr>
          <w:rFonts w:ascii="Arial" w:eastAsia="Arial MT" w:hAnsi="Arial" w:cs="Arial"/>
          <w:b/>
          <w:sz w:val="28"/>
          <w:szCs w:val="28"/>
          <w:lang w:val="pt-PT"/>
        </w:rPr>
      </w:pPr>
    </w:p>
    <w:p w14:paraId="07AF968D" w14:textId="762F5146" w:rsidR="00940DE8" w:rsidRDefault="00940DE8" w:rsidP="00940DE8">
      <w:pPr>
        <w:spacing w:line="360" w:lineRule="auto"/>
        <w:jc w:val="center"/>
        <w:rPr>
          <w:rFonts w:ascii="Arial" w:eastAsia="Arial MT" w:hAnsi="Arial" w:cs="Arial"/>
          <w:b/>
          <w:sz w:val="28"/>
          <w:szCs w:val="28"/>
          <w:lang w:val="pt-PT"/>
        </w:rPr>
      </w:pPr>
    </w:p>
    <w:p w14:paraId="104DD129" w14:textId="145DC692" w:rsidR="00940DE8" w:rsidRDefault="00940DE8" w:rsidP="00940DE8">
      <w:pPr>
        <w:spacing w:line="360" w:lineRule="auto"/>
        <w:jc w:val="center"/>
        <w:rPr>
          <w:rFonts w:ascii="Arial" w:eastAsia="Arial MT" w:hAnsi="Arial" w:cs="Arial"/>
          <w:b/>
          <w:sz w:val="28"/>
          <w:szCs w:val="28"/>
          <w:lang w:val="pt-PT"/>
        </w:rPr>
      </w:pPr>
    </w:p>
    <w:p w14:paraId="6C979D1D" w14:textId="0F7345B8" w:rsidR="00940DE8" w:rsidRDefault="00940DE8" w:rsidP="00940DE8">
      <w:pPr>
        <w:spacing w:line="360" w:lineRule="auto"/>
        <w:jc w:val="center"/>
        <w:rPr>
          <w:rFonts w:ascii="Arial" w:eastAsia="Arial MT" w:hAnsi="Arial" w:cs="Arial"/>
          <w:b/>
          <w:sz w:val="28"/>
          <w:szCs w:val="28"/>
          <w:lang w:val="pt-PT"/>
        </w:rPr>
      </w:pPr>
    </w:p>
    <w:p w14:paraId="13A55557" w14:textId="77777777" w:rsidR="00940DE8" w:rsidRDefault="00940DE8" w:rsidP="00940DE8">
      <w:pPr>
        <w:spacing w:line="360" w:lineRule="auto"/>
        <w:jc w:val="center"/>
        <w:rPr>
          <w:rFonts w:ascii="Arial" w:eastAsia="Arial MT" w:hAnsi="Arial" w:cs="Arial"/>
          <w:b/>
          <w:sz w:val="28"/>
          <w:szCs w:val="28"/>
          <w:lang w:val="pt-PT"/>
        </w:rPr>
      </w:pPr>
    </w:p>
    <w:p w14:paraId="4C26E84A" w14:textId="0BAA4F94" w:rsidR="00940DE8" w:rsidRDefault="00940DE8" w:rsidP="00940DE8">
      <w:pPr>
        <w:spacing w:line="360" w:lineRule="auto"/>
        <w:jc w:val="center"/>
        <w:rPr>
          <w:rFonts w:ascii="Arial" w:eastAsia="Arial MT" w:hAnsi="Arial" w:cs="Arial"/>
          <w:b/>
          <w:sz w:val="28"/>
          <w:szCs w:val="28"/>
          <w:lang w:val="pt-PT"/>
        </w:rPr>
      </w:pPr>
    </w:p>
    <w:p w14:paraId="1FBB9B70" w14:textId="2F24DF98" w:rsidR="00940DE8" w:rsidRDefault="00940DE8" w:rsidP="00940DE8">
      <w:pPr>
        <w:spacing w:line="360" w:lineRule="auto"/>
        <w:jc w:val="center"/>
        <w:rPr>
          <w:rFonts w:ascii="Arial" w:eastAsia="Arial MT" w:hAnsi="Arial" w:cs="Arial"/>
          <w:b/>
          <w:sz w:val="28"/>
          <w:szCs w:val="28"/>
          <w:lang w:val="pt-PT"/>
        </w:rPr>
      </w:pPr>
      <w:r>
        <w:rPr>
          <w:rFonts w:ascii="Arial" w:eastAsia="Arial MT" w:hAnsi="Arial" w:cs="Arial"/>
          <w:b/>
          <w:sz w:val="28"/>
          <w:szCs w:val="28"/>
          <w:lang w:val="pt-PT"/>
        </w:rPr>
        <w:t>PROGRAMA DE INTEGRIDADE</w:t>
      </w:r>
    </w:p>
    <w:p w14:paraId="34A2A69B" w14:textId="7EA3582C" w:rsidR="00940DE8" w:rsidRPr="00940DE8" w:rsidRDefault="00940DE8" w:rsidP="00940DE8">
      <w:pPr>
        <w:spacing w:line="360" w:lineRule="auto"/>
        <w:jc w:val="center"/>
        <w:rPr>
          <w:rFonts w:ascii="Arial" w:eastAsia="Arial MT" w:hAnsi="Arial" w:cs="Arial"/>
          <w:b/>
          <w:sz w:val="28"/>
          <w:szCs w:val="28"/>
          <w:lang w:val="pt-PT"/>
        </w:rPr>
      </w:pPr>
      <w:r>
        <w:rPr>
          <w:rFonts w:ascii="Arial" w:eastAsia="Arial MT" w:hAnsi="Arial" w:cs="Arial"/>
          <w:b/>
          <w:sz w:val="28"/>
          <w:szCs w:val="28"/>
          <w:lang w:val="pt-PT"/>
        </w:rPr>
        <w:t>COMPANHIA DOCAS DO CEARÁ - CDC</w:t>
      </w:r>
    </w:p>
    <w:p w14:paraId="329747A1" w14:textId="5B15621F" w:rsidR="0068617F" w:rsidRPr="00940DE8" w:rsidRDefault="0068617F" w:rsidP="00940DE8">
      <w:pPr>
        <w:spacing w:line="360" w:lineRule="auto"/>
        <w:jc w:val="center"/>
        <w:rPr>
          <w:rFonts w:ascii="Arial" w:eastAsia="Arial MT" w:hAnsi="Arial" w:cs="Arial"/>
          <w:b/>
          <w:sz w:val="28"/>
          <w:szCs w:val="28"/>
          <w:lang w:val="pt-PT"/>
        </w:rPr>
      </w:pPr>
    </w:p>
    <w:p w14:paraId="5E6220AB" w14:textId="3DD6BE37" w:rsidR="00940DE8" w:rsidRDefault="00940DE8" w:rsidP="00940DE8">
      <w:pPr>
        <w:spacing w:line="360" w:lineRule="auto"/>
        <w:jc w:val="center"/>
        <w:rPr>
          <w:rFonts w:ascii="Arial" w:eastAsia="Arial MT" w:hAnsi="Arial" w:cs="Arial"/>
          <w:b/>
          <w:sz w:val="28"/>
          <w:szCs w:val="28"/>
          <w:lang w:val="pt-PT"/>
        </w:rPr>
      </w:pPr>
    </w:p>
    <w:p w14:paraId="724C0CE2" w14:textId="6A973030" w:rsidR="00940DE8" w:rsidRDefault="00940DE8" w:rsidP="00940DE8">
      <w:pPr>
        <w:spacing w:line="360" w:lineRule="auto"/>
        <w:jc w:val="center"/>
        <w:rPr>
          <w:rFonts w:ascii="Arial" w:eastAsia="Arial MT" w:hAnsi="Arial" w:cs="Arial"/>
          <w:b/>
          <w:sz w:val="28"/>
          <w:szCs w:val="28"/>
          <w:lang w:val="pt-PT"/>
        </w:rPr>
      </w:pPr>
    </w:p>
    <w:p w14:paraId="45208577" w14:textId="0BAD12E1" w:rsidR="00940DE8" w:rsidRDefault="00940DE8" w:rsidP="00940DE8">
      <w:pPr>
        <w:spacing w:line="360" w:lineRule="auto"/>
        <w:jc w:val="center"/>
        <w:rPr>
          <w:rFonts w:ascii="Arial" w:eastAsia="Arial MT" w:hAnsi="Arial" w:cs="Arial"/>
          <w:b/>
          <w:sz w:val="28"/>
          <w:szCs w:val="28"/>
          <w:lang w:val="pt-PT"/>
        </w:rPr>
      </w:pPr>
    </w:p>
    <w:p w14:paraId="09BA03C1" w14:textId="77777777" w:rsidR="00940DE8" w:rsidRPr="00940DE8" w:rsidRDefault="00940DE8" w:rsidP="00940DE8">
      <w:pPr>
        <w:spacing w:line="360" w:lineRule="auto"/>
        <w:jc w:val="center"/>
        <w:rPr>
          <w:rFonts w:ascii="Arial" w:eastAsia="Arial MT" w:hAnsi="Arial" w:cs="Arial"/>
          <w:b/>
          <w:sz w:val="28"/>
          <w:szCs w:val="28"/>
          <w:lang w:val="pt-PT"/>
        </w:rPr>
      </w:pPr>
    </w:p>
    <w:p w14:paraId="1B903B3F" w14:textId="073DADBE" w:rsidR="00940DE8" w:rsidRPr="00940DE8" w:rsidRDefault="00940DE8" w:rsidP="00940DE8">
      <w:pPr>
        <w:spacing w:line="360" w:lineRule="auto"/>
        <w:jc w:val="center"/>
        <w:rPr>
          <w:rFonts w:ascii="Arial" w:eastAsia="Arial MT" w:hAnsi="Arial" w:cs="Arial"/>
          <w:b/>
          <w:sz w:val="28"/>
          <w:szCs w:val="28"/>
          <w:lang w:val="pt-PT"/>
        </w:rPr>
      </w:pPr>
    </w:p>
    <w:p w14:paraId="643EFAEF" w14:textId="1B4AB586" w:rsidR="00940DE8" w:rsidRPr="00940DE8" w:rsidRDefault="00F97007" w:rsidP="00940DE8">
      <w:pPr>
        <w:spacing w:line="360" w:lineRule="auto"/>
        <w:jc w:val="right"/>
        <w:rPr>
          <w:rFonts w:ascii="Arial" w:eastAsia="Arial MT" w:hAnsi="Arial" w:cs="Arial"/>
          <w:b/>
          <w:sz w:val="28"/>
          <w:szCs w:val="28"/>
          <w:lang w:val="pt-PT"/>
        </w:rPr>
      </w:pPr>
      <w:r>
        <w:rPr>
          <w:rFonts w:ascii="Arial" w:eastAsia="Arial MT" w:hAnsi="Arial" w:cs="Arial"/>
          <w:b/>
          <w:sz w:val="28"/>
          <w:szCs w:val="28"/>
          <w:lang w:val="pt-PT"/>
        </w:rPr>
        <w:t>Março/2024</w:t>
      </w:r>
    </w:p>
    <w:p w14:paraId="22E29D5F" w14:textId="77777777" w:rsidR="00940DE8" w:rsidRDefault="00940DE8" w:rsidP="00CB44AC">
      <w:pPr>
        <w:spacing w:line="360" w:lineRule="auto"/>
        <w:jc w:val="both"/>
        <w:rPr>
          <w:rFonts w:eastAsia="Arial MT" w:cstheme="minorHAnsi"/>
          <w:sz w:val="24"/>
          <w:szCs w:val="24"/>
          <w:lang w:val="pt-PT"/>
        </w:rPr>
      </w:pPr>
    </w:p>
    <w:p w14:paraId="4C28A718" w14:textId="77777777" w:rsidR="00940DE8" w:rsidRDefault="00940DE8" w:rsidP="00CB44AC">
      <w:pPr>
        <w:spacing w:line="360" w:lineRule="auto"/>
        <w:jc w:val="both"/>
        <w:rPr>
          <w:rFonts w:eastAsia="Arial MT" w:cstheme="minorHAnsi"/>
          <w:sz w:val="24"/>
          <w:szCs w:val="24"/>
          <w:lang w:val="pt-PT"/>
        </w:rPr>
      </w:pPr>
    </w:p>
    <w:p w14:paraId="4971864B" w14:textId="77777777" w:rsidR="00940DE8" w:rsidRDefault="00940DE8" w:rsidP="00CB44AC">
      <w:pPr>
        <w:spacing w:line="360" w:lineRule="auto"/>
        <w:jc w:val="both"/>
        <w:rPr>
          <w:rFonts w:eastAsia="Arial MT" w:cstheme="minorHAnsi"/>
          <w:sz w:val="24"/>
          <w:szCs w:val="24"/>
          <w:lang w:val="pt-PT"/>
        </w:rPr>
      </w:pPr>
    </w:p>
    <w:p w14:paraId="7A9B2B0A" w14:textId="77777777" w:rsidR="00940DE8" w:rsidRDefault="00940DE8" w:rsidP="00CB44AC">
      <w:pPr>
        <w:spacing w:line="360" w:lineRule="auto"/>
        <w:jc w:val="both"/>
        <w:rPr>
          <w:rFonts w:eastAsia="Arial MT" w:cstheme="minorHAnsi"/>
          <w:sz w:val="24"/>
          <w:szCs w:val="24"/>
          <w:lang w:val="pt-PT"/>
        </w:rPr>
      </w:pPr>
    </w:p>
    <w:p w14:paraId="3C64CE1D" w14:textId="0243FA24" w:rsidR="00122BE8" w:rsidRDefault="00122BE8" w:rsidP="00CB44AC">
      <w:pPr>
        <w:spacing w:line="360" w:lineRule="auto"/>
        <w:jc w:val="both"/>
        <w:rPr>
          <w:rFonts w:eastAsia="Arial MT" w:cstheme="minorHAnsi"/>
          <w:sz w:val="24"/>
          <w:szCs w:val="24"/>
          <w:lang w:val="pt-PT"/>
        </w:rPr>
      </w:pPr>
    </w:p>
    <w:p w14:paraId="04DFF51F" w14:textId="1ECB6907" w:rsidR="00122BE8" w:rsidRDefault="00122BE8" w:rsidP="00CB44AC">
      <w:pPr>
        <w:spacing w:line="360" w:lineRule="auto"/>
        <w:jc w:val="both"/>
        <w:rPr>
          <w:rFonts w:eastAsia="Arial MT" w:cstheme="minorHAnsi"/>
          <w:sz w:val="24"/>
          <w:szCs w:val="24"/>
          <w:lang w:val="pt-PT"/>
        </w:rPr>
      </w:pPr>
    </w:p>
    <w:p w14:paraId="7C88F5F1" w14:textId="77777777" w:rsidR="00122BE8" w:rsidRDefault="00122BE8" w:rsidP="00CB44AC">
      <w:pPr>
        <w:spacing w:line="360" w:lineRule="auto"/>
        <w:jc w:val="both"/>
        <w:rPr>
          <w:rFonts w:eastAsia="Arial MT" w:cstheme="minorHAnsi"/>
          <w:sz w:val="24"/>
          <w:szCs w:val="24"/>
          <w:lang w:val="pt-PT"/>
        </w:rPr>
      </w:pPr>
    </w:p>
    <w:p w14:paraId="0BF70887" w14:textId="77777777" w:rsidR="00122BE8" w:rsidRDefault="00940DE8" w:rsidP="00122BE8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both"/>
        <w:rPr>
          <w:rFonts w:eastAsia="Arial MT" w:cstheme="minorHAnsi"/>
          <w:sz w:val="24"/>
          <w:szCs w:val="24"/>
          <w:lang w:val="pt-PT"/>
        </w:rPr>
      </w:pPr>
      <w:r>
        <w:rPr>
          <w:rFonts w:eastAsia="Arial MT" w:cstheme="minorHAnsi"/>
          <w:sz w:val="24"/>
          <w:szCs w:val="24"/>
          <w:lang w:val="pt-PT"/>
        </w:rPr>
        <w:t>A</w:t>
      </w:r>
      <w:r w:rsidR="005F250D" w:rsidRPr="005F250D">
        <w:rPr>
          <w:rFonts w:eastAsia="Arial MT" w:cstheme="minorHAnsi"/>
          <w:sz w:val="24"/>
          <w:szCs w:val="24"/>
          <w:lang w:val="pt-PT"/>
        </w:rPr>
        <w:t xml:space="preserve"> CDC, na busca do aprimoramento da cultura de integridade da companhia, implementou programa de integridade, que consiste em um conjunto de medidas institucionais a serem adotadas em determinado período de tempo, destinadas à prevenção, detecção e correção de atos de corrupção, fraudes, irregularidades e desvios éticos e de conduta, os quais podem impedir que a entidade alcance seus objetivos em todos os níveis. </w:t>
      </w:r>
    </w:p>
    <w:p w14:paraId="02EB9B25" w14:textId="1C22A747" w:rsidR="0061103E" w:rsidRDefault="00122BE8" w:rsidP="00122BE8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both"/>
        <w:rPr>
          <w:rFonts w:eastAsia="Arial MT" w:cstheme="minorHAnsi"/>
          <w:sz w:val="24"/>
          <w:szCs w:val="24"/>
          <w:lang w:val="pt-PT"/>
        </w:rPr>
      </w:pPr>
      <w:r>
        <w:rPr>
          <w:rFonts w:eastAsia="Arial MT" w:cstheme="minorHAnsi"/>
          <w:sz w:val="24"/>
          <w:szCs w:val="24"/>
          <w:lang w:val="pt-PT"/>
        </w:rPr>
        <w:t xml:space="preserve">A </w:t>
      </w:r>
      <w:proofErr w:type="spellStart"/>
      <w:r>
        <w:rPr>
          <w:rFonts w:eastAsia="Arial MT" w:cstheme="minorHAnsi"/>
          <w:sz w:val="24"/>
          <w:szCs w:val="24"/>
          <w:lang w:val="pt-PT"/>
        </w:rPr>
        <w:t>Coordenadoria</w:t>
      </w:r>
      <w:proofErr w:type="spellEnd"/>
      <w:r>
        <w:rPr>
          <w:rFonts w:eastAsia="Arial MT" w:cstheme="minorHAnsi"/>
          <w:sz w:val="24"/>
          <w:szCs w:val="24"/>
          <w:lang w:val="pt-PT"/>
        </w:rPr>
        <w:t xml:space="preserve"> de Controle -</w:t>
      </w:r>
      <w:r w:rsidR="005F250D" w:rsidRPr="005F250D">
        <w:rPr>
          <w:rFonts w:eastAsia="Arial MT" w:cstheme="minorHAnsi"/>
          <w:sz w:val="24"/>
          <w:szCs w:val="24"/>
          <w:lang w:val="pt-PT"/>
        </w:rPr>
        <w:t xml:space="preserve"> CODCON </w:t>
      </w:r>
      <w:r>
        <w:rPr>
          <w:rFonts w:eastAsia="Arial MT" w:cstheme="minorHAnsi"/>
          <w:sz w:val="24"/>
          <w:szCs w:val="24"/>
          <w:lang w:val="pt-PT"/>
        </w:rPr>
        <w:t xml:space="preserve">possui </w:t>
      </w:r>
      <w:r w:rsidR="005F250D" w:rsidRPr="005F250D">
        <w:rPr>
          <w:rFonts w:eastAsia="Arial MT" w:cstheme="minorHAnsi"/>
          <w:sz w:val="24"/>
          <w:szCs w:val="24"/>
          <w:lang w:val="pt-PT"/>
        </w:rPr>
        <w:t>a responsabilidade pelo acompanhamento da execução das ações elencadas no programa de integridade</w:t>
      </w:r>
      <w:r>
        <w:rPr>
          <w:rFonts w:eastAsia="Arial MT" w:cstheme="minorHAnsi"/>
          <w:sz w:val="24"/>
          <w:szCs w:val="24"/>
          <w:lang w:val="pt-PT"/>
        </w:rPr>
        <w:t xml:space="preserve"> da empresa</w:t>
      </w:r>
      <w:r w:rsidR="00A0209F">
        <w:rPr>
          <w:rFonts w:eastAsia="Arial MT" w:cstheme="minorHAnsi"/>
          <w:sz w:val="24"/>
          <w:szCs w:val="24"/>
          <w:lang w:val="pt-PT"/>
        </w:rPr>
        <w:t xml:space="preserve"> e, </w:t>
      </w:r>
      <w:r w:rsidR="005F250D" w:rsidRPr="005F250D">
        <w:rPr>
          <w:rFonts w:eastAsia="Arial MT" w:cstheme="minorHAnsi"/>
          <w:sz w:val="24"/>
          <w:szCs w:val="24"/>
          <w:lang w:val="pt-PT"/>
        </w:rPr>
        <w:t xml:space="preserve">em atendimento ao </w:t>
      </w:r>
      <w:proofErr w:type="spellStart"/>
      <w:r w:rsidR="005F250D" w:rsidRPr="005F250D">
        <w:rPr>
          <w:rFonts w:eastAsia="Arial MT" w:cstheme="minorHAnsi"/>
          <w:sz w:val="24"/>
          <w:szCs w:val="24"/>
          <w:lang w:val="pt-PT"/>
        </w:rPr>
        <w:t>art</w:t>
      </w:r>
      <w:proofErr w:type="spellEnd"/>
      <w:r w:rsidR="005F250D" w:rsidRPr="005F250D">
        <w:rPr>
          <w:rFonts w:eastAsia="Arial MT" w:cstheme="minorHAnsi"/>
          <w:sz w:val="24"/>
          <w:szCs w:val="24"/>
          <w:lang w:val="pt-PT"/>
        </w:rPr>
        <w:t>. 16 do Decreto nº 8.945/16, § 3º, são elaborados relatórios trimestrais das atividades da área de integridade para fins de conhecimento pela gestão</w:t>
      </w:r>
      <w:r w:rsidR="005F250D">
        <w:rPr>
          <w:rFonts w:eastAsia="Arial MT" w:cstheme="minorHAnsi"/>
          <w:sz w:val="24"/>
          <w:szCs w:val="24"/>
          <w:lang w:val="pt-PT"/>
        </w:rPr>
        <w:t xml:space="preserve">. </w:t>
      </w:r>
    </w:p>
    <w:p w14:paraId="16FBCBCD" w14:textId="7E2FFC62" w:rsidR="00467893" w:rsidRDefault="00467893" w:rsidP="00C607A3">
      <w:pPr>
        <w:spacing w:line="360" w:lineRule="auto"/>
        <w:jc w:val="both"/>
        <w:rPr>
          <w:rFonts w:asciiTheme="majorHAnsi" w:hAnsiTheme="majorHAnsi" w:cstheme="majorHAnsi"/>
        </w:rPr>
      </w:pPr>
    </w:p>
    <w:p w14:paraId="1466094B" w14:textId="297F454F" w:rsidR="0061103E" w:rsidRDefault="0061103E" w:rsidP="00C607A3">
      <w:pPr>
        <w:spacing w:line="360" w:lineRule="auto"/>
        <w:jc w:val="both"/>
        <w:rPr>
          <w:rFonts w:asciiTheme="majorHAnsi" w:hAnsiTheme="majorHAnsi" w:cstheme="majorHAnsi"/>
        </w:rPr>
      </w:pPr>
    </w:p>
    <w:p w14:paraId="1292B0FB" w14:textId="209C5963" w:rsidR="0061103E" w:rsidRDefault="0061103E" w:rsidP="00C607A3">
      <w:pPr>
        <w:spacing w:line="360" w:lineRule="auto"/>
        <w:jc w:val="both"/>
        <w:rPr>
          <w:rFonts w:asciiTheme="majorHAnsi" w:hAnsiTheme="majorHAnsi" w:cstheme="majorHAnsi"/>
        </w:rPr>
      </w:pPr>
    </w:p>
    <w:p w14:paraId="291DFA64" w14:textId="7E1B967B" w:rsidR="0061103E" w:rsidRDefault="0061103E" w:rsidP="00C607A3">
      <w:pPr>
        <w:spacing w:line="360" w:lineRule="auto"/>
        <w:jc w:val="both"/>
        <w:rPr>
          <w:rFonts w:asciiTheme="majorHAnsi" w:hAnsiTheme="majorHAnsi" w:cstheme="majorHAnsi"/>
        </w:rPr>
      </w:pPr>
    </w:p>
    <w:p w14:paraId="0368E9D1" w14:textId="6ADEB796" w:rsidR="0061103E" w:rsidRDefault="0061103E" w:rsidP="00C607A3">
      <w:pPr>
        <w:spacing w:line="360" w:lineRule="auto"/>
        <w:jc w:val="both"/>
        <w:rPr>
          <w:rFonts w:asciiTheme="majorHAnsi" w:hAnsiTheme="majorHAnsi" w:cstheme="majorHAnsi"/>
        </w:rPr>
      </w:pPr>
    </w:p>
    <w:p w14:paraId="7D35EC53" w14:textId="64030522" w:rsidR="0061103E" w:rsidRDefault="0061103E" w:rsidP="00C607A3">
      <w:pPr>
        <w:spacing w:line="360" w:lineRule="auto"/>
        <w:jc w:val="both"/>
        <w:rPr>
          <w:rFonts w:asciiTheme="majorHAnsi" w:hAnsiTheme="majorHAnsi" w:cstheme="majorHAnsi"/>
        </w:rPr>
      </w:pPr>
    </w:p>
    <w:p w14:paraId="62E8C7C2" w14:textId="17445896" w:rsidR="00526717" w:rsidRDefault="00526717" w:rsidP="00C607A3">
      <w:pPr>
        <w:spacing w:line="360" w:lineRule="auto"/>
        <w:jc w:val="both"/>
        <w:rPr>
          <w:rFonts w:asciiTheme="majorHAnsi" w:hAnsiTheme="majorHAnsi" w:cstheme="majorHAnsi"/>
        </w:rPr>
      </w:pPr>
    </w:p>
    <w:p w14:paraId="340736AE" w14:textId="13C96FEE" w:rsidR="00526717" w:rsidRDefault="00526717" w:rsidP="00C607A3">
      <w:pPr>
        <w:spacing w:line="360" w:lineRule="auto"/>
        <w:jc w:val="both"/>
        <w:rPr>
          <w:rFonts w:asciiTheme="majorHAnsi" w:hAnsiTheme="majorHAnsi" w:cstheme="majorHAnsi"/>
        </w:rPr>
      </w:pPr>
    </w:p>
    <w:p w14:paraId="31D7B236" w14:textId="77777777" w:rsidR="00526717" w:rsidRDefault="00526717" w:rsidP="00C607A3">
      <w:pPr>
        <w:spacing w:line="360" w:lineRule="auto"/>
        <w:jc w:val="both"/>
        <w:rPr>
          <w:rFonts w:asciiTheme="majorHAnsi" w:hAnsiTheme="majorHAnsi" w:cstheme="majorHAnsi"/>
        </w:rPr>
      </w:pPr>
    </w:p>
    <w:p w14:paraId="30C8E7E3" w14:textId="77777777" w:rsidR="002115A6" w:rsidRDefault="002115A6" w:rsidP="00541201">
      <w:pPr>
        <w:spacing w:line="360" w:lineRule="auto"/>
        <w:ind w:left="-284"/>
        <w:jc w:val="both"/>
        <w:rPr>
          <w:rFonts w:ascii="Calibri" w:hAnsi="Calibri" w:cs="Calibri"/>
          <w:color w:val="000000"/>
        </w:rPr>
      </w:pPr>
    </w:p>
    <w:p w14:paraId="6A12E7F4" w14:textId="5A626075" w:rsidR="002115A6" w:rsidRPr="008339E9" w:rsidRDefault="00065AC5" w:rsidP="002115A6">
      <w:pPr>
        <w:spacing w:line="360" w:lineRule="auto"/>
        <w:ind w:left="-142" w:hanging="142"/>
        <w:jc w:val="both"/>
        <w:rPr>
          <w:rFonts w:eastAsiaTheme="majorEastAsia" w:cstheme="minorHAnsi"/>
          <w:b/>
          <w:color w:val="002060"/>
          <w:sz w:val="30"/>
          <w:szCs w:val="30"/>
        </w:rPr>
      </w:pPr>
      <w:r w:rsidRPr="008339E9">
        <w:rPr>
          <w:rFonts w:eastAsiaTheme="majorEastAsia" w:cstheme="minorHAnsi"/>
          <w:b/>
          <w:color w:val="002060"/>
          <w:sz w:val="30"/>
          <w:szCs w:val="30"/>
        </w:rPr>
        <w:lastRenderedPageBreak/>
        <w:t xml:space="preserve">Relatórios </w:t>
      </w:r>
      <w:proofErr w:type="spellStart"/>
      <w:r w:rsidRPr="008339E9">
        <w:rPr>
          <w:rFonts w:eastAsiaTheme="majorEastAsia" w:cstheme="minorHAnsi"/>
          <w:b/>
          <w:color w:val="002060"/>
          <w:sz w:val="30"/>
          <w:szCs w:val="30"/>
        </w:rPr>
        <w:t>Correicionais</w:t>
      </w:r>
      <w:proofErr w:type="spellEnd"/>
    </w:p>
    <w:p w14:paraId="4CAD30A9" w14:textId="3DC1BD73" w:rsidR="00065AC5" w:rsidRPr="00065AC5" w:rsidRDefault="002115A6" w:rsidP="00065AC5">
      <w:pPr>
        <w:spacing w:line="360" w:lineRule="auto"/>
        <w:ind w:left="-284" w:firstLine="851"/>
        <w:jc w:val="both"/>
        <w:rPr>
          <w:rFonts w:ascii="Calibri" w:hAnsi="Calibri" w:cs="Calibri"/>
        </w:rPr>
      </w:pPr>
      <w:r w:rsidRPr="00065AC5">
        <w:rPr>
          <w:rFonts w:ascii="Calibri" w:hAnsi="Calibri" w:cs="Calibri"/>
        </w:rPr>
        <w:t xml:space="preserve">Com o objetivo de dar transparência </w:t>
      </w:r>
      <w:r w:rsidR="00F86F7A" w:rsidRPr="00065AC5">
        <w:rPr>
          <w:rFonts w:ascii="Calibri" w:hAnsi="Calibri" w:cs="Calibri"/>
        </w:rPr>
        <w:t>às</w:t>
      </w:r>
      <w:r w:rsidRPr="00065AC5">
        <w:rPr>
          <w:rFonts w:ascii="Calibri" w:hAnsi="Calibri" w:cs="Calibri"/>
        </w:rPr>
        <w:t xml:space="preserve"> informações </w:t>
      </w:r>
      <w:proofErr w:type="spellStart"/>
      <w:r w:rsidR="00065AC5" w:rsidRPr="00065AC5">
        <w:rPr>
          <w:rFonts w:ascii="Calibri" w:hAnsi="Calibri" w:cs="Calibri"/>
        </w:rPr>
        <w:t>correicionais</w:t>
      </w:r>
      <w:proofErr w:type="spellEnd"/>
      <w:r w:rsidR="00065AC5" w:rsidRPr="00065AC5">
        <w:rPr>
          <w:rFonts w:ascii="Calibri" w:hAnsi="Calibri" w:cs="Calibri"/>
        </w:rPr>
        <w:t>, a AUDINT elabora</w:t>
      </w:r>
      <w:r w:rsidR="008339E9">
        <w:rPr>
          <w:rFonts w:ascii="Calibri" w:hAnsi="Calibri" w:cs="Calibri"/>
        </w:rPr>
        <w:t>,</w:t>
      </w:r>
      <w:r w:rsidR="00065AC5" w:rsidRPr="00065AC5">
        <w:rPr>
          <w:rFonts w:ascii="Calibri" w:hAnsi="Calibri" w:cs="Calibri"/>
        </w:rPr>
        <w:t xml:space="preserve"> de forma trimestral, Relatórios correcionais contendo a situação dos processos de sindicância</w:t>
      </w:r>
      <w:r w:rsidR="008339E9">
        <w:rPr>
          <w:rFonts w:ascii="Calibri" w:hAnsi="Calibri" w:cs="Calibri"/>
        </w:rPr>
        <w:t>s da empresa</w:t>
      </w:r>
      <w:r w:rsidR="00065AC5" w:rsidRPr="00065AC5">
        <w:rPr>
          <w:rFonts w:ascii="Calibri" w:hAnsi="Calibri" w:cs="Calibri"/>
        </w:rPr>
        <w:t xml:space="preserve"> (finalizados e em andamento). No 1º Trimestre de 2024, a AUDINT elaborou o Relatório de nº 10. </w:t>
      </w:r>
    </w:p>
    <w:p w14:paraId="2CD2808B" w14:textId="0C2F61DF" w:rsidR="00541201" w:rsidRPr="00065AC5" w:rsidRDefault="00065AC5" w:rsidP="00065AC5">
      <w:pPr>
        <w:spacing w:line="360" w:lineRule="auto"/>
        <w:ind w:left="-284" w:firstLine="851"/>
        <w:jc w:val="both"/>
        <w:rPr>
          <w:rFonts w:ascii="Calibri" w:hAnsi="Calibri" w:cs="Calibri"/>
        </w:rPr>
      </w:pPr>
      <w:r w:rsidRPr="00065AC5">
        <w:rPr>
          <w:rFonts w:ascii="Calibri" w:hAnsi="Calibri" w:cs="Calibri"/>
        </w:rPr>
        <w:t xml:space="preserve">Os Relatórios podem ser conferidos </w:t>
      </w:r>
      <w:r w:rsidR="002C74C2" w:rsidRPr="00065AC5">
        <w:rPr>
          <w:rFonts w:eastAsia="Arial MT" w:cstheme="minorHAnsi"/>
          <w:lang w:val="pt-PT"/>
        </w:rPr>
        <w:t xml:space="preserve">no site da CDC, através do link: </w:t>
      </w:r>
      <w:hyperlink r:id="rId9" w:history="1">
        <w:r w:rsidRPr="00065AC5">
          <w:rPr>
            <w:rStyle w:val="Hyperlink"/>
            <w:rFonts w:eastAsia="Arial MT" w:cstheme="minorHAnsi"/>
            <w:color w:val="auto"/>
            <w:lang w:val="pt-PT"/>
          </w:rPr>
          <w:t>https://www.docasdoceara.com.br/sistema-de-correicao</w:t>
        </w:r>
      </w:hyperlink>
      <w:r w:rsidRPr="00065AC5">
        <w:rPr>
          <w:rFonts w:eastAsia="Arial MT" w:cstheme="minorHAnsi"/>
          <w:lang w:val="pt-PT"/>
        </w:rPr>
        <w:t xml:space="preserve">. </w:t>
      </w:r>
    </w:p>
    <w:p w14:paraId="107A64B6" w14:textId="77777777" w:rsidR="00541201" w:rsidRPr="00526717" w:rsidRDefault="00541201" w:rsidP="008A50A7">
      <w:pPr>
        <w:spacing w:after="0" w:line="240" w:lineRule="auto"/>
        <w:jc w:val="both"/>
        <w:rPr>
          <w:rFonts w:eastAsia="Arial MT" w:cstheme="minorHAnsi"/>
          <w:lang w:val="pt-PT"/>
        </w:rPr>
      </w:pPr>
    </w:p>
    <w:p w14:paraId="6A7E5BD0" w14:textId="439BAFEE" w:rsidR="00CA17A1" w:rsidRPr="008339E9" w:rsidRDefault="00CA17A1" w:rsidP="00DA2EA1">
      <w:pPr>
        <w:spacing w:line="276" w:lineRule="auto"/>
        <w:ind w:left="-284"/>
        <w:jc w:val="both"/>
        <w:rPr>
          <w:rFonts w:eastAsiaTheme="majorEastAsia" w:cstheme="minorHAnsi"/>
          <w:b/>
          <w:color w:val="002060"/>
          <w:sz w:val="30"/>
          <w:szCs w:val="30"/>
        </w:rPr>
      </w:pPr>
      <w:r w:rsidRPr="008339E9">
        <w:rPr>
          <w:rFonts w:eastAsiaTheme="majorEastAsia" w:cstheme="minorHAnsi"/>
          <w:b/>
          <w:color w:val="002060"/>
          <w:sz w:val="30"/>
          <w:szCs w:val="30"/>
        </w:rPr>
        <w:t>CAPACITAÇÕES</w:t>
      </w:r>
    </w:p>
    <w:p w14:paraId="3D87DA25" w14:textId="73AC0D65" w:rsidR="00077175" w:rsidRPr="008339E9" w:rsidRDefault="006C57C2" w:rsidP="00EC271F">
      <w:pPr>
        <w:spacing w:line="276" w:lineRule="auto"/>
        <w:ind w:left="-284"/>
        <w:jc w:val="both"/>
        <w:rPr>
          <w:rFonts w:eastAsiaTheme="majorEastAsia" w:cstheme="minorHAnsi"/>
          <w:b/>
          <w:color w:val="002060"/>
          <w:sz w:val="30"/>
          <w:szCs w:val="30"/>
        </w:rPr>
      </w:pPr>
      <w:r w:rsidRPr="008339E9">
        <w:rPr>
          <w:rFonts w:eastAsiaTheme="majorEastAsia" w:cstheme="minorHAnsi"/>
          <w:b/>
          <w:color w:val="002060"/>
          <w:sz w:val="30"/>
          <w:szCs w:val="30"/>
        </w:rPr>
        <w:t xml:space="preserve">Treinamento sobre </w:t>
      </w:r>
      <w:r w:rsidR="00FD72BA" w:rsidRPr="008339E9">
        <w:rPr>
          <w:rFonts w:eastAsiaTheme="majorEastAsia" w:cstheme="minorHAnsi"/>
          <w:b/>
          <w:color w:val="002060"/>
          <w:sz w:val="30"/>
          <w:szCs w:val="30"/>
        </w:rPr>
        <w:t>Resolução</w:t>
      </w:r>
      <w:r w:rsidR="008339E9">
        <w:rPr>
          <w:rFonts w:eastAsiaTheme="majorEastAsia" w:cstheme="minorHAnsi"/>
          <w:b/>
          <w:color w:val="002060"/>
          <w:sz w:val="30"/>
          <w:szCs w:val="30"/>
        </w:rPr>
        <w:t xml:space="preserve"> de Conflitos aplicada às</w:t>
      </w:r>
      <w:r w:rsidR="00FD72BA" w:rsidRPr="008339E9">
        <w:rPr>
          <w:rFonts w:eastAsiaTheme="majorEastAsia" w:cstheme="minorHAnsi"/>
          <w:b/>
          <w:color w:val="002060"/>
          <w:sz w:val="30"/>
          <w:szCs w:val="30"/>
        </w:rPr>
        <w:t xml:space="preserve"> ouvidorias</w:t>
      </w:r>
    </w:p>
    <w:p w14:paraId="5B755890" w14:textId="740E3077" w:rsidR="00FD72BA" w:rsidRPr="00052BA6" w:rsidRDefault="00EA12DE" w:rsidP="0066674A">
      <w:pPr>
        <w:spacing w:line="360" w:lineRule="auto"/>
        <w:ind w:left="-284" w:firstLine="851"/>
        <w:jc w:val="both"/>
        <w:rPr>
          <w:rFonts w:ascii="Calibri" w:hAnsi="Calibri" w:cs="Calibri"/>
        </w:rPr>
      </w:pPr>
      <w:r w:rsidRPr="00052BA6">
        <w:rPr>
          <w:rFonts w:ascii="Calibri" w:hAnsi="Calibri" w:cs="Calibri"/>
        </w:rPr>
        <w:t xml:space="preserve">Foi </w:t>
      </w:r>
      <w:r w:rsidR="006C57C2" w:rsidRPr="00052BA6">
        <w:rPr>
          <w:rFonts w:ascii="Calibri" w:hAnsi="Calibri" w:cs="Calibri"/>
        </w:rPr>
        <w:t>ofertado</w:t>
      </w:r>
      <w:r w:rsidRPr="00052BA6">
        <w:rPr>
          <w:rFonts w:ascii="Calibri" w:hAnsi="Calibri" w:cs="Calibri"/>
        </w:rPr>
        <w:t xml:space="preserve"> treinamento </w:t>
      </w:r>
      <w:r w:rsidR="004C290E" w:rsidRPr="00052BA6">
        <w:rPr>
          <w:rFonts w:ascii="Calibri" w:hAnsi="Calibri" w:cs="Calibri"/>
        </w:rPr>
        <w:t>sobre</w:t>
      </w:r>
      <w:r w:rsidR="00FD72BA" w:rsidRPr="00052BA6">
        <w:rPr>
          <w:rFonts w:ascii="Calibri" w:hAnsi="Calibri" w:cs="Calibri"/>
        </w:rPr>
        <w:t xml:space="preserve"> resolução de conflitos </w:t>
      </w:r>
      <w:r w:rsidR="004C290E" w:rsidRPr="00052BA6">
        <w:rPr>
          <w:rFonts w:ascii="Calibri" w:hAnsi="Calibri" w:cs="Calibri"/>
        </w:rPr>
        <w:t xml:space="preserve">voltado </w:t>
      </w:r>
      <w:r w:rsidR="00FD72BA" w:rsidRPr="00052BA6">
        <w:rPr>
          <w:rFonts w:ascii="Calibri" w:hAnsi="Calibri" w:cs="Calibri"/>
        </w:rPr>
        <w:t xml:space="preserve">aos colaboradores que atuam </w:t>
      </w:r>
      <w:r w:rsidR="006C57C2" w:rsidRPr="00052BA6">
        <w:rPr>
          <w:rFonts w:ascii="Calibri" w:hAnsi="Calibri" w:cs="Calibri"/>
        </w:rPr>
        <w:t xml:space="preserve">na </w:t>
      </w:r>
      <w:r w:rsidR="00FD72BA" w:rsidRPr="00052BA6">
        <w:rPr>
          <w:rFonts w:ascii="Calibri" w:hAnsi="Calibri" w:cs="Calibri"/>
        </w:rPr>
        <w:t xml:space="preserve">ouvidoria da </w:t>
      </w:r>
      <w:r w:rsidR="006C57C2" w:rsidRPr="00052BA6">
        <w:rPr>
          <w:rFonts w:ascii="Calibri" w:hAnsi="Calibri" w:cs="Calibri"/>
        </w:rPr>
        <w:t xml:space="preserve">empresa. O objetivo </w:t>
      </w:r>
      <w:r w:rsidR="00FD72BA" w:rsidRPr="00052BA6">
        <w:rPr>
          <w:rFonts w:ascii="Calibri" w:hAnsi="Calibri" w:cs="Calibri"/>
        </w:rPr>
        <w:t xml:space="preserve">é capacitar a ouvidoria da CDC </w:t>
      </w:r>
      <w:r w:rsidR="0066674A" w:rsidRPr="00052BA6">
        <w:rPr>
          <w:rFonts w:ascii="Calibri" w:hAnsi="Calibri" w:cs="Calibri"/>
        </w:rPr>
        <w:t xml:space="preserve">de forma a que passe a conhecer </w:t>
      </w:r>
      <w:r w:rsidR="00FD72BA" w:rsidRPr="00052BA6">
        <w:rPr>
          <w:rFonts w:ascii="Calibri" w:hAnsi="Calibri" w:cs="Calibri"/>
        </w:rPr>
        <w:t xml:space="preserve">algumas formas de </w:t>
      </w:r>
      <w:r w:rsidR="0066674A" w:rsidRPr="00052BA6">
        <w:rPr>
          <w:rFonts w:ascii="Calibri" w:hAnsi="Calibri" w:cs="Calibri"/>
        </w:rPr>
        <w:t>mediar e solucionar conflitos</w:t>
      </w:r>
      <w:r w:rsidR="00FD72BA" w:rsidRPr="00052BA6">
        <w:rPr>
          <w:rFonts w:ascii="Calibri" w:hAnsi="Calibri" w:cs="Calibri"/>
        </w:rPr>
        <w:t>.</w:t>
      </w:r>
    </w:p>
    <w:p w14:paraId="712C48F3" w14:textId="77777777" w:rsidR="0066674A" w:rsidRPr="00052BA6" w:rsidRDefault="0066674A" w:rsidP="0066674A">
      <w:pPr>
        <w:spacing w:line="360" w:lineRule="auto"/>
        <w:ind w:left="-284" w:firstLine="851"/>
        <w:jc w:val="both"/>
        <w:rPr>
          <w:rFonts w:ascii="Calibri" w:hAnsi="Calibri" w:cs="Calibri"/>
        </w:rPr>
      </w:pPr>
      <w:r w:rsidRPr="00052BA6">
        <w:rPr>
          <w:rFonts w:ascii="Calibri" w:hAnsi="Calibri" w:cs="Calibri"/>
        </w:rPr>
        <w:t>A Lei nº 13.460/2017 confere às ouvidorias públicas a competência para promover a adoção de mediação e conciliação entre o usuário e o órgão ou a entidade pública, sem prejuízo de outros órgãos competentes.</w:t>
      </w:r>
    </w:p>
    <w:p w14:paraId="602A57BE" w14:textId="44AF758D" w:rsidR="00BF5DE0" w:rsidRPr="00052BA6" w:rsidRDefault="006C57C2" w:rsidP="004C290E">
      <w:pPr>
        <w:spacing w:line="360" w:lineRule="auto"/>
        <w:ind w:left="-284" w:firstLine="851"/>
        <w:jc w:val="both"/>
        <w:rPr>
          <w:rFonts w:ascii="Calibri" w:hAnsi="Calibri" w:cs="Calibri"/>
        </w:rPr>
      </w:pPr>
      <w:r w:rsidRPr="00052BA6">
        <w:rPr>
          <w:rFonts w:ascii="Calibri" w:hAnsi="Calibri" w:cs="Calibri"/>
        </w:rPr>
        <w:t xml:space="preserve">O treinamento </w:t>
      </w:r>
      <w:r w:rsidR="0066674A" w:rsidRPr="00052BA6">
        <w:rPr>
          <w:rFonts w:ascii="Calibri" w:hAnsi="Calibri" w:cs="Calibri"/>
        </w:rPr>
        <w:t>pô</w:t>
      </w:r>
      <w:r w:rsidR="004C290E" w:rsidRPr="00052BA6">
        <w:rPr>
          <w:rFonts w:ascii="Calibri" w:hAnsi="Calibri" w:cs="Calibri"/>
        </w:rPr>
        <w:t xml:space="preserve">de </w:t>
      </w:r>
      <w:r w:rsidR="00DA2EA1" w:rsidRPr="00052BA6">
        <w:rPr>
          <w:rFonts w:ascii="Calibri" w:hAnsi="Calibri" w:cs="Calibri"/>
        </w:rPr>
        <w:t xml:space="preserve">ser acessado através do link: </w:t>
      </w:r>
      <w:hyperlink r:id="rId10" w:history="1">
        <w:r w:rsidR="0066674A" w:rsidRPr="00052BA6">
          <w:rPr>
            <w:rStyle w:val="Hyperlink"/>
            <w:rFonts w:ascii="Calibri" w:hAnsi="Calibri" w:cs="Calibri"/>
            <w:color w:val="auto"/>
          </w:rPr>
          <w:t>https://www.escolavirtual.gov.br/curso/120</w:t>
        </w:r>
      </w:hyperlink>
      <w:r w:rsidR="0066674A" w:rsidRPr="00052BA6">
        <w:rPr>
          <w:rFonts w:ascii="Calibri" w:hAnsi="Calibri" w:cs="Calibri"/>
        </w:rPr>
        <w:t>.</w:t>
      </w:r>
    </w:p>
    <w:p w14:paraId="1A3D81C2" w14:textId="08425582" w:rsidR="0066674A" w:rsidRPr="008339E9" w:rsidRDefault="0066674A" w:rsidP="0066674A">
      <w:pPr>
        <w:spacing w:line="276" w:lineRule="auto"/>
        <w:ind w:left="-284"/>
        <w:jc w:val="both"/>
        <w:rPr>
          <w:rFonts w:eastAsiaTheme="majorEastAsia" w:cstheme="minorHAnsi"/>
          <w:b/>
          <w:color w:val="002060"/>
          <w:sz w:val="30"/>
          <w:szCs w:val="30"/>
        </w:rPr>
      </w:pPr>
      <w:r w:rsidRPr="008339E9">
        <w:rPr>
          <w:rFonts w:eastAsiaTheme="majorEastAsia" w:cstheme="minorHAnsi"/>
          <w:b/>
          <w:color w:val="002060"/>
          <w:sz w:val="30"/>
          <w:szCs w:val="30"/>
        </w:rPr>
        <w:t xml:space="preserve">Treinamento sobre Gestão de Riscos </w:t>
      </w:r>
    </w:p>
    <w:p w14:paraId="371ED4B6" w14:textId="4C55E6EE" w:rsidR="0066674A" w:rsidRPr="00052BA6" w:rsidRDefault="0066674A" w:rsidP="0066674A">
      <w:pPr>
        <w:spacing w:line="360" w:lineRule="auto"/>
        <w:ind w:left="-284" w:firstLine="851"/>
        <w:jc w:val="both"/>
        <w:rPr>
          <w:rFonts w:ascii="Calibri" w:hAnsi="Calibri" w:cs="Calibri"/>
        </w:rPr>
      </w:pPr>
      <w:r w:rsidRPr="00052BA6">
        <w:rPr>
          <w:rFonts w:ascii="Calibri" w:hAnsi="Calibri" w:cs="Calibri"/>
        </w:rPr>
        <w:t xml:space="preserve">Foi ofertado treinamento sobre Gestão de Riscos em Processos de Trabalho (segundo o Coso) aos membros do Comitê de Gerenciamento de Riscos da CDC – COGER. O curso também faz parte da grade </w:t>
      </w:r>
      <w:r w:rsidR="008339E9">
        <w:rPr>
          <w:rFonts w:ascii="Calibri" w:hAnsi="Calibri" w:cs="Calibri"/>
        </w:rPr>
        <w:t>de ações previstas no Plano de G</w:t>
      </w:r>
      <w:r w:rsidRPr="00052BA6">
        <w:rPr>
          <w:rFonts w:ascii="Calibri" w:hAnsi="Calibri" w:cs="Calibri"/>
        </w:rPr>
        <w:t xml:space="preserve">estão de Riscos 2024, haja vista que, no presente exercício, os membros do referido Comitê necessitam ter atuações mais </w:t>
      </w:r>
      <w:r w:rsidR="008339E9">
        <w:rPr>
          <w:rFonts w:ascii="Calibri" w:hAnsi="Calibri" w:cs="Calibri"/>
        </w:rPr>
        <w:t>próximas</w:t>
      </w:r>
      <w:r w:rsidRPr="00052BA6">
        <w:rPr>
          <w:rFonts w:ascii="Calibri" w:hAnsi="Calibri" w:cs="Calibri"/>
        </w:rPr>
        <w:t xml:space="preserve"> em relação às coordenadorias proprietárias dos riscos. </w:t>
      </w:r>
    </w:p>
    <w:p w14:paraId="219FC198" w14:textId="23FD20BB" w:rsidR="0066674A" w:rsidRPr="00052BA6" w:rsidRDefault="0066674A" w:rsidP="0066674A">
      <w:pPr>
        <w:spacing w:line="360" w:lineRule="auto"/>
        <w:ind w:left="-284" w:firstLine="851"/>
        <w:jc w:val="both"/>
        <w:rPr>
          <w:rFonts w:ascii="Calibri" w:hAnsi="Calibri" w:cs="Calibri"/>
        </w:rPr>
      </w:pPr>
      <w:r w:rsidRPr="00052BA6">
        <w:rPr>
          <w:rFonts w:ascii="Calibri" w:hAnsi="Calibri" w:cs="Calibri"/>
        </w:rPr>
        <w:t xml:space="preserve">O treinamento trouxe a metodologia </w:t>
      </w:r>
      <w:r w:rsidR="008339E9">
        <w:rPr>
          <w:rFonts w:ascii="Calibri" w:hAnsi="Calibri" w:cs="Calibri"/>
        </w:rPr>
        <w:t>COSO</w:t>
      </w:r>
      <w:r w:rsidRPr="00052BA6">
        <w:rPr>
          <w:rFonts w:ascii="Calibri" w:hAnsi="Calibri" w:cs="Calibri"/>
        </w:rPr>
        <w:t xml:space="preserve"> a qual é usada pela CDC conforme sua Política de gestão de riscos e controles internos, sendo importante ferramenta na condução dos trabalhos pelo Comitê. </w:t>
      </w:r>
    </w:p>
    <w:p w14:paraId="704C6C6C" w14:textId="3EB6DCD3" w:rsidR="0066674A" w:rsidRPr="00052BA6" w:rsidRDefault="0066674A" w:rsidP="0066674A">
      <w:pPr>
        <w:spacing w:line="360" w:lineRule="auto"/>
        <w:ind w:left="-284" w:firstLine="851"/>
        <w:jc w:val="both"/>
        <w:rPr>
          <w:rFonts w:ascii="Calibri" w:hAnsi="Calibri" w:cs="Calibri"/>
        </w:rPr>
      </w:pPr>
      <w:r w:rsidRPr="00052BA6">
        <w:rPr>
          <w:rFonts w:ascii="Calibri" w:hAnsi="Calibri" w:cs="Calibri"/>
        </w:rPr>
        <w:t xml:space="preserve">A quase totalidade de membros do Comitê de Gerenciamento de Riscos foi capacitada no tema. </w:t>
      </w:r>
    </w:p>
    <w:p w14:paraId="5E24F752" w14:textId="3A119FD2" w:rsidR="0066674A" w:rsidRPr="00052BA6" w:rsidRDefault="0066674A" w:rsidP="0066674A">
      <w:pPr>
        <w:spacing w:line="360" w:lineRule="auto"/>
        <w:ind w:left="-284" w:firstLine="851"/>
        <w:jc w:val="both"/>
      </w:pPr>
      <w:r w:rsidRPr="00052BA6">
        <w:rPr>
          <w:rFonts w:ascii="Calibri" w:hAnsi="Calibri" w:cs="Calibri"/>
        </w:rPr>
        <w:t>O treinamento pôde ser acessado através do link: https://www.escolavirtual.gov.br/curso/300.</w:t>
      </w:r>
    </w:p>
    <w:p w14:paraId="53D074B3" w14:textId="40DD7C2D" w:rsidR="00065AC5" w:rsidRDefault="00065AC5" w:rsidP="00AC434D">
      <w:pPr>
        <w:spacing w:line="360" w:lineRule="auto"/>
        <w:ind w:left="-284"/>
        <w:jc w:val="both"/>
        <w:rPr>
          <w:rFonts w:eastAsiaTheme="majorEastAsia" w:cstheme="minorHAnsi"/>
          <w:b/>
          <w:sz w:val="30"/>
          <w:szCs w:val="30"/>
        </w:rPr>
      </w:pPr>
    </w:p>
    <w:p w14:paraId="0BF1A6D0" w14:textId="77777777" w:rsidR="008339E9" w:rsidRPr="00052BA6" w:rsidRDefault="008339E9" w:rsidP="00AC434D">
      <w:pPr>
        <w:spacing w:line="360" w:lineRule="auto"/>
        <w:ind w:left="-284"/>
        <w:jc w:val="both"/>
        <w:rPr>
          <w:rFonts w:eastAsiaTheme="majorEastAsia" w:cstheme="minorHAnsi"/>
          <w:b/>
          <w:sz w:val="30"/>
          <w:szCs w:val="30"/>
        </w:rPr>
      </w:pPr>
    </w:p>
    <w:p w14:paraId="202E4723" w14:textId="12514BAA" w:rsidR="00EF3CE3" w:rsidRPr="008339E9" w:rsidRDefault="00EF3CE3" w:rsidP="00AC434D">
      <w:pPr>
        <w:spacing w:line="360" w:lineRule="auto"/>
        <w:ind w:left="-284"/>
        <w:jc w:val="both"/>
        <w:rPr>
          <w:rFonts w:eastAsiaTheme="majorEastAsia" w:cstheme="minorHAnsi"/>
          <w:b/>
          <w:color w:val="002060"/>
          <w:sz w:val="30"/>
          <w:szCs w:val="30"/>
        </w:rPr>
      </w:pPr>
      <w:r w:rsidRPr="008339E9">
        <w:rPr>
          <w:rFonts w:eastAsiaTheme="majorEastAsia" w:cstheme="minorHAnsi"/>
          <w:b/>
          <w:color w:val="002060"/>
          <w:sz w:val="30"/>
          <w:szCs w:val="30"/>
        </w:rPr>
        <w:lastRenderedPageBreak/>
        <w:t xml:space="preserve">CAMPANHAS </w:t>
      </w:r>
    </w:p>
    <w:p w14:paraId="75F9CC17" w14:textId="01B070C3" w:rsidR="00312609" w:rsidRPr="008339E9" w:rsidRDefault="00E625A9" w:rsidP="00AC434D">
      <w:pPr>
        <w:spacing w:line="360" w:lineRule="auto"/>
        <w:ind w:left="-284"/>
        <w:jc w:val="both"/>
        <w:rPr>
          <w:rFonts w:cstheme="minorHAnsi"/>
          <w:color w:val="002060"/>
          <w:sz w:val="26"/>
          <w:szCs w:val="26"/>
          <w:shd w:val="clear" w:color="auto" w:fill="FFFFFF"/>
        </w:rPr>
      </w:pPr>
      <w:r w:rsidRPr="008339E9">
        <w:rPr>
          <w:rFonts w:eastAsiaTheme="majorEastAsia" w:cstheme="minorHAnsi"/>
          <w:b/>
          <w:color w:val="002060"/>
          <w:sz w:val="30"/>
          <w:szCs w:val="30"/>
        </w:rPr>
        <w:t xml:space="preserve">Campanha de Ouvidoria </w:t>
      </w:r>
    </w:p>
    <w:p w14:paraId="18C3A05F" w14:textId="17951C10" w:rsidR="005A5303" w:rsidRPr="008339E9" w:rsidRDefault="00F97007" w:rsidP="0075752D">
      <w:pPr>
        <w:spacing w:line="360" w:lineRule="auto"/>
        <w:ind w:left="-284"/>
        <w:jc w:val="both"/>
        <w:rPr>
          <w:rFonts w:ascii="Calibri" w:hAnsi="Calibri" w:cs="Calibri"/>
          <w:b/>
          <w:color w:val="002060"/>
          <w:u w:val="single"/>
        </w:rPr>
      </w:pPr>
      <w:r w:rsidRPr="008339E9">
        <w:rPr>
          <w:rFonts w:ascii="Calibri" w:hAnsi="Calibri" w:cs="Calibri"/>
          <w:b/>
          <w:color w:val="002060"/>
          <w:u w:val="single"/>
        </w:rPr>
        <w:t xml:space="preserve">Resolução de Conflitos </w:t>
      </w:r>
    </w:p>
    <w:p w14:paraId="2D6D3E02" w14:textId="7CCCF8FC" w:rsidR="00F97007" w:rsidRPr="00052BA6" w:rsidRDefault="00F97007" w:rsidP="004C290E">
      <w:pPr>
        <w:spacing w:line="360" w:lineRule="auto"/>
        <w:ind w:left="-284" w:firstLine="851"/>
        <w:jc w:val="both"/>
        <w:rPr>
          <w:rFonts w:ascii="Calibri" w:hAnsi="Calibri" w:cs="Calibri"/>
        </w:rPr>
      </w:pPr>
      <w:r w:rsidRPr="00052BA6">
        <w:rPr>
          <w:rFonts w:ascii="Calibri" w:hAnsi="Calibri" w:cs="Calibri"/>
        </w:rPr>
        <w:t xml:space="preserve">Como fruto da capacitação realizada pela Ouvidora no tema “Resolução de Conflitos”, foi elaborada campanha intitulada </w:t>
      </w:r>
      <w:r w:rsidRPr="00052BA6">
        <w:rPr>
          <w:rFonts w:ascii="Calibri" w:hAnsi="Calibri" w:cs="Calibri"/>
          <w:b/>
        </w:rPr>
        <w:t xml:space="preserve">“Mediação de Conflitos”, </w:t>
      </w:r>
      <w:r w:rsidRPr="00052BA6">
        <w:rPr>
          <w:rFonts w:ascii="Calibri" w:hAnsi="Calibri" w:cs="Calibri"/>
        </w:rPr>
        <w:t>de forma a fomentar uma resolução de conflitos de forma não contenciosa, através de soluções compartilhadas.</w:t>
      </w:r>
      <w:r w:rsidR="000F2C1D" w:rsidRPr="00052BA6">
        <w:rPr>
          <w:rFonts w:ascii="Calibri" w:hAnsi="Calibri" w:cs="Calibri"/>
        </w:rPr>
        <w:t xml:space="preserve"> </w:t>
      </w:r>
    </w:p>
    <w:p w14:paraId="6A9E1761" w14:textId="43494C5B" w:rsidR="008E6424" w:rsidRPr="00052BA6" w:rsidRDefault="008E6424" w:rsidP="000F2C1D">
      <w:pPr>
        <w:spacing w:line="360" w:lineRule="auto"/>
        <w:ind w:left="-284" w:firstLine="851"/>
        <w:jc w:val="both"/>
        <w:rPr>
          <w:rFonts w:ascii="Calibri" w:hAnsi="Calibri" w:cs="Calibri"/>
        </w:rPr>
      </w:pPr>
      <w:r w:rsidRPr="00052BA6">
        <w:t xml:space="preserve">O informe encontra-se publicado no site da CDC, podendo ser conferido através do link </w:t>
      </w:r>
      <w:hyperlink r:id="rId11" w:history="1">
        <w:r w:rsidRPr="00052BA6">
          <w:rPr>
            <w:rStyle w:val="Hyperlink"/>
            <w:color w:val="auto"/>
          </w:rPr>
          <w:t>https://www.docasdoceara.com.br/ouvidoria</w:t>
        </w:r>
      </w:hyperlink>
      <w:r w:rsidRPr="00052BA6">
        <w:t xml:space="preserve">. </w:t>
      </w:r>
    </w:p>
    <w:p w14:paraId="2FCFD2DC" w14:textId="42C38706" w:rsidR="005A5303" w:rsidRPr="008339E9" w:rsidRDefault="000F2C1D" w:rsidP="0075752D">
      <w:pPr>
        <w:spacing w:line="360" w:lineRule="auto"/>
        <w:ind w:left="-284"/>
        <w:jc w:val="both"/>
        <w:rPr>
          <w:rFonts w:eastAsiaTheme="majorEastAsia" w:cstheme="minorHAnsi"/>
          <w:b/>
          <w:color w:val="002060"/>
          <w:sz w:val="26"/>
          <w:szCs w:val="26"/>
          <w:u w:val="single"/>
        </w:rPr>
      </w:pPr>
      <w:r w:rsidRPr="008339E9">
        <w:rPr>
          <w:b/>
          <w:color w:val="002060"/>
          <w:u w:val="single"/>
        </w:rPr>
        <w:t xml:space="preserve">Importância da Ouvidoria </w:t>
      </w:r>
    </w:p>
    <w:p w14:paraId="273F49AF" w14:textId="7123065A" w:rsidR="005A5303" w:rsidRPr="00052BA6" w:rsidRDefault="005A5303" w:rsidP="007C1C10">
      <w:pPr>
        <w:spacing w:line="360" w:lineRule="auto"/>
        <w:ind w:left="-284" w:firstLine="851"/>
        <w:jc w:val="both"/>
        <w:rPr>
          <w:rFonts w:ascii="Calibri" w:hAnsi="Calibri" w:cs="Calibri"/>
        </w:rPr>
      </w:pPr>
      <w:r w:rsidRPr="00052BA6">
        <w:rPr>
          <w:rFonts w:ascii="Calibri" w:hAnsi="Calibri" w:cs="Calibri"/>
        </w:rPr>
        <w:t xml:space="preserve">Foi realizada campanha interna </w:t>
      </w:r>
      <w:r w:rsidR="007C1C10" w:rsidRPr="00052BA6">
        <w:rPr>
          <w:rFonts w:ascii="Calibri" w:hAnsi="Calibri" w:cs="Calibri"/>
        </w:rPr>
        <w:t xml:space="preserve">sobre as atribuições da Ouvidoria no tocante ao canal de denúncias e sua importância. </w:t>
      </w:r>
    </w:p>
    <w:p w14:paraId="0B7A72DC" w14:textId="63CD8BD1" w:rsidR="00FD72BA" w:rsidRPr="008339E9" w:rsidRDefault="00FD72BA" w:rsidP="00FD72BA">
      <w:pPr>
        <w:spacing w:line="360" w:lineRule="auto"/>
        <w:ind w:left="-284"/>
        <w:jc w:val="both"/>
        <w:rPr>
          <w:rFonts w:eastAsiaTheme="majorEastAsia" w:cstheme="minorHAnsi"/>
          <w:b/>
          <w:color w:val="002060"/>
          <w:sz w:val="26"/>
          <w:szCs w:val="26"/>
          <w:u w:val="single"/>
        </w:rPr>
      </w:pPr>
      <w:r w:rsidRPr="008339E9">
        <w:rPr>
          <w:b/>
          <w:color w:val="002060"/>
          <w:u w:val="single"/>
        </w:rPr>
        <w:t xml:space="preserve">Orientações sobre a LAI </w:t>
      </w:r>
    </w:p>
    <w:p w14:paraId="739521E8" w14:textId="363852A8" w:rsidR="00FD72BA" w:rsidRPr="00052BA6" w:rsidRDefault="00FD72BA" w:rsidP="00FD72BA">
      <w:pPr>
        <w:spacing w:line="360" w:lineRule="auto"/>
        <w:ind w:left="-284" w:firstLine="851"/>
        <w:jc w:val="both"/>
        <w:rPr>
          <w:rFonts w:ascii="Calibri" w:hAnsi="Calibri" w:cs="Calibri"/>
        </w:rPr>
      </w:pPr>
      <w:r w:rsidRPr="00052BA6">
        <w:rPr>
          <w:rFonts w:ascii="Calibri" w:hAnsi="Calibri" w:cs="Calibri"/>
        </w:rPr>
        <w:t>A Ouvidoria também realizou campanha</w:t>
      </w:r>
      <w:r w:rsidR="00065AC5" w:rsidRPr="00052BA6">
        <w:rPr>
          <w:rFonts w:ascii="Calibri" w:hAnsi="Calibri" w:cs="Calibri"/>
        </w:rPr>
        <w:t xml:space="preserve"> interna</w:t>
      </w:r>
      <w:r w:rsidRPr="00052BA6">
        <w:rPr>
          <w:rFonts w:ascii="Calibri" w:hAnsi="Calibri" w:cs="Calibri"/>
        </w:rPr>
        <w:t xml:space="preserve"> sobre as manifestações recebidas na Ouvidoria, referente ao pedido de informação, trazendo seus conceitos, bem como instruções de como solicitar informações.  </w:t>
      </w:r>
    </w:p>
    <w:p w14:paraId="67B7A67A" w14:textId="77777777" w:rsidR="00FD72BA" w:rsidRPr="007C1C10" w:rsidRDefault="00FD72BA" w:rsidP="007C1C10">
      <w:pPr>
        <w:spacing w:line="360" w:lineRule="auto"/>
        <w:ind w:left="-284" w:firstLine="851"/>
        <w:jc w:val="both"/>
        <w:rPr>
          <w:rFonts w:ascii="Calibri" w:hAnsi="Calibri" w:cs="Calibri"/>
          <w:color w:val="FF0000"/>
        </w:rPr>
      </w:pPr>
    </w:p>
    <w:p w14:paraId="642A29E3" w14:textId="321C282E" w:rsidR="000F2C1D" w:rsidRDefault="000F2C1D" w:rsidP="007C1C10">
      <w:pPr>
        <w:spacing w:before="120" w:after="120" w:line="360" w:lineRule="auto"/>
        <w:ind w:left="-284" w:right="120" w:firstLine="284"/>
        <w:jc w:val="both"/>
        <w:rPr>
          <w:rFonts w:ascii="Calibri" w:hAnsi="Calibri" w:cs="Calibri"/>
        </w:rPr>
      </w:pPr>
      <w:r w:rsidRPr="000F2C1D">
        <w:rPr>
          <w:rFonts w:ascii="Calibri" w:hAnsi="Calibri" w:cs="Calibri"/>
          <w:noProof/>
          <w:lang w:eastAsia="pt-BR"/>
        </w:rPr>
        <w:drawing>
          <wp:inline distT="0" distB="0" distL="0" distR="0" wp14:anchorId="07776889" wp14:editId="30655AD0">
            <wp:extent cx="2419711" cy="3234178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9013" cy="328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C10" w:rsidRPr="007C1C10">
        <w:rPr>
          <w:rFonts w:ascii="Calibri" w:hAnsi="Calibri" w:cs="Calibri"/>
          <w:noProof/>
          <w:lang w:eastAsia="pt-BR"/>
        </w:rPr>
        <w:drawing>
          <wp:inline distT="0" distB="0" distL="0" distR="0" wp14:anchorId="7D3E456C" wp14:editId="5363C2F8">
            <wp:extent cx="2617308" cy="322745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0958" cy="325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785AA" w14:textId="0F7BB1C3" w:rsidR="000F2C1D" w:rsidRPr="00526717" w:rsidRDefault="000F2C1D" w:rsidP="002F5DDC">
      <w:pPr>
        <w:spacing w:before="120" w:after="120" w:line="360" w:lineRule="auto"/>
        <w:ind w:left="-284" w:right="120" w:firstLine="851"/>
        <w:jc w:val="both"/>
        <w:rPr>
          <w:rFonts w:ascii="Calibri" w:hAnsi="Calibri" w:cs="Calibri"/>
        </w:rPr>
      </w:pPr>
    </w:p>
    <w:p w14:paraId="1EF105B6" w14:textId="540270ED" w:rsidR="00254207" w:rsidRPr="00526717" w:rsidRDefault="00FD72BA" w:rsidP="00FD72BA">
      <w:pPr>
        <w:spacing w:line="360" w:lineRule="auto"/>
        <w:ind w:left="-426" w:right="-143"/>
        <w:jc w:val="center"/>
        <w:rPr>
          <w:rFonts w:ascii="Calibri" w:hAnsi="Calibri" w:cs="Calibri"/>
        </w:rPr>
      </w:pPr>
      <w:r w:rsidRPr="00FD72BA">
        <w:rPr>
          <w:rFonts w:ascii="Calibri" w:hAnsi="Calibri" w:cs="Calibri"/>
          <w:noProof/>
          <w:lang w:eastAsia="pt-BR"/>
        </w:rPr>
        <w:lastRenderedPageBreak/>
        <w:drawing>
          <wp:inline distT="0" distB="0" distL="0" distR="0" wp14:anchorId="7CB313A1" wp14:editId="29394F77">
            <wp:extent cx="3091218" cy="335762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98416" cy="336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A4C1B" w14:textId="4DF80235" w:rsidR="00065AC5" w:rsidRPr="00052BA6" w:rsidRDefault="00065AC5" w:rsidP="00065AC5">
      <w:pPr>
        <w:spacing w:line="360" w:lineRule="auto"/>
        <w:ind w:left="-426" w:right="-143" w:firstLine="993"/>
        <w:jc w:val="both"/>
        <w:rPr>
          <w:rFonts w:ascii="Calibri" w:hAnsi="Calibri" w:cs="Calibri"/>
        </w:rPr>
      </w:pPr>
      <w:r w:rsidRPr="00052BA6">
        <w:rPr>
          <w:rFonts w:ascii="Calibri" w:hAnsi="Calibri" w:cs="Calibri"/>
        </w:rPr>
        <w:t>A CODCON sugere que as demais campanhas da Ouvidoria sejam divulgadas também no site da Companhia, visando alcançar o público externo.</w:t>
      </w:r>
    </w:p>
    <w:p w14:paraId="49F22043" w14:textId="01ABD5B6" w:rsidR="0066674A" w:rsidRPr="008339E9" w:rsidRDefault="0066674A" w:rsidP="00AD327F">
      <w:pPr>
        <w:spacing w:line="276" w:lineRule="auto"/>
        <w:ind w:left="-284"/>
        <w:jc w:val="both"/>
        <w:rPr>
          <w:rFonts w:eastAsiaTheme="majorEastAsia" w:cstheme="minorHAnsi"/>
          <w:b/>
          <w:color w:val="002060"/>
          <w:sz w:val="30"/>
          <w:szCs w:val="30"/>
        </w:rPr>
      </w:pPr>
      <w:r w:rsidRPr="008339E9">
        <w:rPr>
          <w:rFonts w:eastAsiaTheme="majorEastAsia" w:cstheme="minorHAnsi"/>
          <w:b/>
          <w:color w:val="002060"/>
          <w:sz w:val="30"/>
          <w:szCs w:val="30"/>
        </w:rPr>
        <w:t xml:space="preserve">NORMATIVOS </w:t>
      </w:r>
    </w:p>
    <w:p w14:paraId="79C37C2C" w14:textId="073FC4BD" w:rsidR="0066674A" w:rsidRPr="008339E9" w:rsidRDefault="00065AC5" w:rsidP="00AD327F">
      <w:pPr>
        <w:spacing w:line="276" w:lineRule="auto"/>
        <w:ind w:left="-284"/>
        <w:jc w:val="both"/>
        <w:rPr>
          <w:rFonts w:eastAsiaTheme="majorEastAsia" w:cstheme="minorHAnsi"/>
          <w:b/>
          <w:color w:val="002060"/>
          <w:sz w:val="30"/>
          <w:szCs w:val="30"/>
        </w:rPr>
      </w:pPr>
      <w:r w:rsidRPr="008339E9">
        <w:rPr>
          <w:rFonts w:eastAsiaTheme="majorEastAsia" w:cstheme="minorHAnsi"/>
          <w:b/>
          <w:color w:val="002060"/>
          <w:sz w:val="30"/>
          <w:szCs w:val="30"/>
        </w:rPr>
        <w:t>Revisão do Regimento Interno da Auditoria Interna</w:t>
      </w:r>
    </w:p>
    <w:p w14:paraId="59EAE9FC" w14:textId="28BE6CC1" w:rsidR="0066674A" w:rsidRPr="00052BA6" w:rsidRDefault="0066674A" w:rsidP="0066674A">
      <w:pPr>
        <w:spacing w:line="360" w:lineRule="auto"/>
        <w:ind w:left="-426" w:right="-143" w:firstLine="993"/>
        <w:jc w:val="both"/>
        <w:rPr>
          <w:rFonts w:ascii="Calibri" w:hAnsi="Calibri" w:cs="Calibri"/>
        </w:rPr>
      </w:pPr>
      <w:r w:rsidRPr="00052BA6">
        <w:rPr>
          <w:rFonts w:ascii="Calibri" w:hAnsi="Calibri" w:cs="Calibri"/>
        </w:rPr>
        <w:t>A Auditoria procedeu à revisão do seu Regimento Interno levando em conta às disposições da novel Resolução CGPAR nº</w:t>
      </w:r>
      <w:r w:rsidR="00C71936" w:rsidRPr="00052BA6">
        <w:rPr>
          <w:rFonts w:ascii="Calibri" w:hAnsi="Calibri" w:cs="Calibri"/>
        </w:rPr>
        <w:t xml:space="preserve"> 48/2023</w:t>
      </w:r>
      <w:r w:rsidR="00FB0D25" w:rsidRPr="00052BA6">
        <w:rPr>
          <w:rFonts w:ascii="Calibri" w:hAnsi="Calibri" w:cs="Calibri"/>
        </w:rPr>
        <w:t xml:space="preserve">, bem como a necessidade de adaptação ao novo Manual de Auditoria Interna. </w:t>
      </w:r>
    </w:p>
    <w:p w14:paraId="762F979E" w14:textId="49247E6C" w:rsidR="00C71936" w:rsidRPr="00052BA6" w:rsidRDefault="00C71936" w:rsidP="00C71936">
      <w:pPr>
        <w:spacing w:line="360" w:lineRule="auto"/>
        <w:ind w:left="-426" w:right="-143" w:firstLine="993"/>
        <w:jc w:val="both"/>
        <w:rPr>
          <w:rFonts w:ascii="Calibri" w:hAnsi="Calibri" w:cs="Calibri"/>
        </w:rPr>
      </w:pPr>
      <w:r w:rsidRPr="00052BA6">
        <w:t xml:space="preserve">Referido Regimento encontra-se sendo revisado pela AUDINT, após observações da área de controle da CDC. </w:t>
      </w:r>
    </w:p>
    <w:p w14:paraId="73C947A0" w14:textId="6A6D379C" w:rsidR="0066674A" w:rsidRPr="008339E9" w:rsidRDefault="00065AC5" w:rsidP="0066674A">
      <w:pPr>
        <w:spacing w:line="276" w:lineRule="auto"/>
        <w:ind w:left="-284"/>
        <w:jc w:val="both"/>
        <w:rPr>
          <w:rFonts w:eastAsiaTheme="majorEastAsia" w:cstheme="minorHAnsi"/>
          <w:b/>
          <w:color w:val="002060"/>
          <w:sz w:val="30"/>
          <w:szCs w:val="30"/>
        </w:rPr>
      </w:pPr>
      <w:r w:rsidRPr="008339E9">
        <w:rPr>
          <w:rFonts w:eastAsiaTheme="majorEastAsia" w:cstheme="minorHAnsi"/>
          <w:b/>
          <w:color w:val="002060"/>
          <w:sz w:val="30"/>
          <w:szCs w:val="30"/>
        </w:rPr>
        <w:t>Manual da Auditoria Interna</w:t>
      </w:r>
    </w:p>
    <w:p w14:paraId="13D22AB1" w14:textId="77777777" w:rsidR="00AC2637" w:rsidRDefault="00FB0D25" w:rsidP="00065AC5">
      <w:pPr>
        <w:spacing w:line="360" w:lineRule="auto"/>
        <w:ind w:left="-426" w:right="-143" w:firstLine="993"/>
        <w:jc w:val="both"/>
      </w:pPr>
      <w:r w:rsidRPr="00052BA6">
        <w:rPr>
          <w:rFonts w:ascii="Calibri" w:hAnsi="Calibri" w:cs="Calibri"/>
        </w:rPr>
        <w:t xml:space="preserve">Como forma de </w:t>
      </w:r>
      <w:r w:rsidR="00C71936" w:rsidRPr="00052BA6">
        <w:t>aprimorar os processos e fluxos referentes ao trabalho da Auditoria Interna da CDC, a mesma propôs um Manual, cujo normativo objetiva melhor estrutu</w:t>
      </w:r>
      <w:r w:rsidR="00AC2637">
        <w:t>rar os trabalhos do setor</w:t>
      </w:r>
      <w:r w:rsidR="00C71936" w:rsidRPr="00052BA6">
        <w:t xml:space="preserve">. </w:t>
      </w:r>
    </w:p>
    <w:p w14:paraId="16033E0B" w14:textId="3A98D28C" w:rsidR="00065AC5" w:rsidRPr="00052BA6" w:rsidRDefault="00C71936" w:rsidP="00065AC5">
      <w:pPr>
        <w:spacing w:line="360" w:lineRule="auto"/>
        <w:ind w:left="-426" w:right="-143" w:firstLine="993"/>
        <w:jc w:val="both"/>
        <w:rPr>
          <w:rFonts w:ascii="Calibri" w:hAnsi="Calibri" w:cs="Calibri"/>
        </w:rPr>
      </w:pPr>
      <w:r w:rsidRPr="00052BA6">
        <w:t xml:space="preserve">Referido Manual encontra-se sendo revisado pela AUDINT, após observações da área de controle da CDC. </w:t>
      </w:r>
    </w:p>
    <w:p w14:paraId="4B41E349" w14:textId="0899F972" w:rsidR="00FB0D25" w:rsidRPr="00FB0D25" w:rsidRDefault="00FB0D25" w:rsidP="00065AC5">
      <w:pPr>
        <w:spacing w:line="360" w:lineRule="auto"/>
        <w:ind w:left="-426" w:right="-143" w:firstLine="142"/>
        <w:jc w:val="both"/>
        <w:rPr>
          <w:rFonts w:ascii="Calibri" w:hAnsi="Calibri" w:cs="Calibri"/>
          <w:color w:val="002060"/>
        </w:rPr>
      </w:pPr>
      <w:r w:rsidRPr="00FB0D25">
        <w:rPr>
          <w:rFonts w:eastAsiaTheme="majorEastAsia" w:cstheme="minorHAnsi"/>
          <w:b/>
          <w:color w:val="002060"/>
          <w:sz w:val="30"/>
          <w:szCs w:val="30"/>
        </w:rPr>
        <w:t>AVALIAÇÕES</w:t>
      </w:r>
    </w:p>
    <w:p w14:paraId="2406B154" w14:textId="6743FDD2" w:rsidR="00FB0D25" w:rsidRPr="008339E9" w:rsidRDefault="00C71936" w:rsidP="00065AC5">
      <w:pPr>
        <w:spacing w:line="360" w:lineRule="auto"/>
        <w:ind w:right="-143"/>
        <w:jc w:val="both"/>
        <w:rPr>
          <w:rFonts w:ascii="Calibri" w:eastAsia="Times New Roman" w:hAnsi="Calibri" w:cs="Calibri"/>
          <w:b/>
          <w:bCs/>
          <w:iCs/>
          <w:color w:val="002060"/>
          <w:sz w:val="24"/>
          <w:szCs w:val="24"/>
          <w:u w:val="single"/>
          <w:lang w:eastAsia="pt-BR"/>
        </w:rPr>
      </w:pPr>
      <w:r w:rsidRPr="008339E9">
        <w:rPr>
          <w:rFonts w:ascii="Calibri" w:eastAsia="Times New Roman" w:hAnsi="Calibri" w:cs="Calibri"/>
          <w:b/>
          <w:bCs/>
          <w:iCs/>
          <w:color w:val="002060"/>
          <w:sz w:val="24"/>
          <w:szCs w:val="24"/>
          <w:u w:val="single"/>
          <w:lang w:eastAsia="pt-BR"/>
        </w:rPr>
        <w:t>LEVANTAMENTO</w:t>
      </w:r>
      <w:r w:rsidRPr="008339E9">
        <w:rPr>
          <w:rFonts w:eastAsia="Times New Roman"/>
          <w:b/>
          <w:iCs/>
          <w:color w:val="002060"/>
          <w:sz w:val="24"/>
          <w:szCs w:val="24"/>
          <w:u w:val="single"/>
          <w:lang w:eastAsia="pt-BR"/>
        </w:rPr>
        <w:t> IESGO</w:t>
      </w:r>
      <w:r w:rsidRPr="008339E9">
        <w:rPr>
          <w:rFonts w:eastAsia="Times New Roman"/>
          <w:iCs/>
          <w:color w:val="002060"/>
          <w:sz w:val="24"/>
          <w:szCs w:val="24"/>
          <w:u w:val="single"/>
          <w:lang w:eastAsia="pt-BR"/>
        </w:rPr>
        <w:t xml:space="preserve"> - ÍNDICE ESG (</w:t>
      </w:r>
      <w:r w:rsidRPr="008339E9">
        <w:rPr>
          <w:rFonts w:eastAsia="Times New Roman"/>
          <w:i/>
          <w:iCs/>
          <w:color w:val="002060"/>
          <w:sz w:val="24"/>
          <w:szCs w:val="24"/>
          <w:u w:val="single"/>
          <w:lang w:eastAsia="pt-BR"/>
        </w:rPr>
        <w:t>ENVIRONMENTAL, SOCIAL AND GOVERNANCE</w:t>
      </w:r>
      <w:r w:rsidRPr="008339E9">
        <w:rPr>
          <w:rFonts w:eastAsia="Times New Roman"/>
          <w:iCs/>
          <w:color w:val="002060"/>
          <w:sz w:val="24"/>
          <w:szCs w:val="24"/>
          <w:u w:val="single"/>
          <w:lang w:eastAsia="pt-BR"/>
        </w:rPr>
        <w:t>)</w:t>
      </w:r>
      <w:r w:rsidRPr="008339E9">
        <w:rPr>
          <w:rFonts w:ascii="Calibri" w:eastAsia="Times New Roman" w:hAnsi="Calibri" w:cs="Calibri"/>
          <w:b/>
          <w:bCs/>
          <w:iCs/>
          <w:color w:val="002060"/>
          <w:sz w:val="24"/>
          <w:szCs w:val="24"/>
          <w:u w:val="single"/>
          <w:lang w:eastAsia="pt-BR"/>
        </w:rPr>
        <w:t> DO TCU</w:t>
      </w:r>
    </w:p>
    <w:p w14:paraId="1AACCE31" w14:textId="4FBACF86" w:rsidR="00C71936" w:rsidRPr="00052BA6" w:rsidRDefault="00C71936" w:rsidP="00C71936">
      <w:pPr>
        <w:spacing w:line="360" w:lineRule="auto"/>
        <w:ind w:left="-426" w:right="-143" w:firstLine="993"/>
        <w:jc w:val="both"/>
      </w:pPr>
      <w:r w:rsidRPr="00052BA6">
        <w:t xml:space="preserve">O levantamento do índice </w:t>
      </w:r>
      <w:proofErr w:type="spellStart"/>
      <w:r w:rsidRPr="00052BA6">
        <w:t>IESGo</w:t>
      </w:r>
      <w:proofErr w:type="spellEnd"/>
      <w:r w:rsidRPr="00052BA6">
        <w:t xml:space="preserve"> do TCU tem como principal objetivo avaliar o grau de aderência das organizações públicas federais em relação </w:t>
      </w:r>
      <w:r w:rsidRPr="00052BA6">
        <w:rPr>
          <w:b/>
          <w:bCs/>
        </w:rPr>
        <w:t>às práticas de ESG. </w:t>
      </w:r>
      <w:r w:rsidRPr="00052BA6">
        <w:t xml:space="preserve">A coleta de informações está sendo realizada </w:t>
      </w:r>
      <w:r w:rsidRPr="00052BA6">
        <w:lastRenderedPageBreak/>
        <w:t xml:space="preserve">por meio de questionário eletrônico de </w:t>
      </w:r>
      <w:proofErr w:type="spellStart"/>
      <w:r w:rsidRPr="00052BA6">
        <w:t>autoavaliação</w:t>
      </w:r>
      <w:proofErr w:type="spellEnd"/>
      <w:r w:rsidRPr="00052BA6">
        <w:t xml:space="preserve">, </w:t>
      </w:r>
      <w:proofErr w:type="spellStart"/>
      <w:r w:rsidRPr="00052BA6">
        <w:t>o qual</w:t>
      </w:r>
      <w:proofErr w:type="spellEnd"/>
      <w:r w:rsidRPr="00052BA6">
        <w:t xml:space="preserve"> abrange os seguintes temas: governança organizacional pública; gestão de pessoas; gestão da tecnologia da informação e da segurança da informação; gestão de contratações; gestão orçamentária e financeira; sustentabilidade ambiental e sustentabilidade social. </w:t>
      </w:r>
    </w:p>
    <w:p w14:paraId="4CB83453" w14:textId="5E45503E" w:rsidR="00C71936" w:rsidRPr="00052BA6" w:rsidRDefault="00C71936" w:rsidP="00C71936">
      <w:pPr>
        <w:spacing w:line="360" w:lineRule="auto"/>
        <w:ind w:left="-426" w:right="-143" w:firstLine="993"/>
        <w:jc w:val="both"/>
      </w:pPr>
      <w:r w:rsidRPr="00052BA6">
        <w:t xml:space="preserve">O referido levantamento encontra-se em andamento e será finalizado em meados de </w:t>
      </w:r>
      <w:proofErr w:type="gramStart"/>
      <w:r w:rsidRPr="00052BA6">
        <w:t>Abri</w:t>
      </w:r>
      <w:r w:rsidR="00065AC5" w:rsidRPr="00052BA6">
        <w:t>l</w:t>
      </w:r>
      <w:proofErr w:type="gramEnd"/>
      <w:r w:rsidRPr="00052BA6">
        <w:t xml:space="preserve">/2024. </w:t>
      </w:r>
    </w:p>
    <w:p w14:paraId="5091B71A" w14:textId="4C7C4C72" w:rsidR="00065AC5" w:rsidRPr="008339E9" w:rsidRDefault="00065AC5" w:rsidP="00052BA6">
      <w:pPr>
        <w:spacing w:line="360" w:lineRule="auto"/>
        <w:ind w:left="-426" w:right="-143"/>
        <w:jc w:val="center"/>
        <w:rPr>
          <w:b/>
          <w:color w:val="002060"/>
        </w:rPr>
      </w:pPr>
      <w:r w:rsidRPr="008339E9">
        <w:rPr>
          <w:b/>
          <w:color w:val="002060"/>
        </w:rPr>
        <w:t>***</w:t>
      </w:r>
    </w:p>
    <w:p w14:paraId="74DA1B5D" w14:textId="054B22D7" w:rsidR="00E72AA8" w:rsidRPr="00052BA6" w:rsidRDefault="00E72AA8" w:rsidP="00AC434D">
      <w:pPr>
        <w:spacing w:line="360" w:lineRule="auto"/>
        <w:ind w:right="-710" w:hanging="851"/>
        <w:jc w:val="both"/>
        <w:rPr>
          <w:rFonts w:ascii="Calibri" w:hAnsi="Calibri" w:cs="Calibri"/>
        </w:rPr>
      </w:pPr>
      <w:r w:rsidRPr="00052BA6">
        <w:rPr>
          <w:rFonts w:ascii="Calibri" w:hAnsi="Calibri" w:cs="Calibri"/>
        </w:rPr>
        <w:t xml:space="preserve"> </w:t>
      </w:r>
    </w:p>
    <w:sectPr w:rsidR="00E72AA8" w:rsidRPr="00052BA6" w:rsidSect="00495CA2">
      <w:footerReference w:type="default" r:id="rId15"/>
      <w:pgSz w:w="11906" w:h="16838"/>
      <w:pgMar w:top="1417" w:right="1133" w:bottom="993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4231F" w14:textId="77777777" w:rsidR="009559AD" w:rsidRDefault="009559AD" w:rsidP="006D3F4E">
      <w:pPr>
        <w:spacing w:after="0" w:line="240" w:lineRule="auto"/>
      </w:pPr>
      <w:r>
        <w:separator/>
      </w:r>
    </w:p>
  </w:endnote>
  <w:endnote w:type="continuationSeparator" w:id="0">
    <w:p w14:paraId="26B1479D" w14:textId="77777777" w:rsidR="009559AD" w:rsidRDefault="009559AD" w:rsidP="006D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700759"/>
      <w:docPartObj>
        <w:docPartGallery w:val="Page Numbers (Bottom of Page)"/>
        <w:docPartUnique/>
      </w:docPartObj>
    </w:sdtPr>
    <w:sdtEndPr/>
    <w:sdtContent>
      <w:p w14:paraId="5E6337AB" w14:textId="01C42F5F" w:rsidR="006D3F4E" w:rsidRDefault="00F305BC" w:rsidP="002D4659">
        <w:pPr>
          <w:pStyle w:val="Rodap"/>
          <w:ind w:left="-1560"/>
        </w:pPr>
        <w:r w:rsidRPr="00F305BC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  <w:r w:rsidRPr="00F305BC">
          <w:rPr>
            <w:noProof/>
            <w:lang w:eastAsia="pt-BR"/>
          </w:rPr>
          <w:drawing>
            <wp:inline distT="0" distB="0" distL="0" distR="0" wp14:anchorId="301C2D8B" wp14:editId="7A11E939">
              <wp:extent cx="11585115" cy="310515"/>
              <wp:effectExtent l="0" t="0" r="0" b="0"/>
              <wp:docPr id="11" name="Imagem 11" descr="C:\Users\larissa.oliveira\Desktop\5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:\Users\larissa.oliveira\Desktop\55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32354" cy="3171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B44AC" w:rsidRPr="00CB44AC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71A54" w14:textId="77777777" w:rsidR="009559AD" w:rsidRDefault="009559AD" w:rsidP="006D3F4E">
      <w:pPr>
        <w:spacing w:after="0" w:line="240" w:lineRule="auto"/>
      </w:pPr>
      <w:r>
        <w:separator/>
      </w:r>
    </w:p>
  </w:footnote>
  <w:footnote w:type="continuationSeparator" w:id="0">
    <w:p w14:paraId="3D00B952" w14:textId="77777777" w:rsidR="009559AD" w:rsidRDefault="009559AD" w:rsidP="006D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159D"/>
    <w:multiLevelType w:val="hybridMultilevel"/>
    <w:tmpl w:val="B8401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002D8"/>
    <w:multiLevelType w:val="hybridMultilevel"/>
    <w:tmpl w:val="E3943240"/>
    <w:lvl w:ilvl="0" w:tplc="F93046F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9"/>
    <w:rsid w:val="000005B9"/>
    <w:rsid w:val="00001BC9"/>
    <w:rsid w:val="00007171"/>
    <w:rsid w:val="00037273"/>
    <w:rsid w:val="0004717A"/>
    <w:rsid w:val="00052888"/>
    <w:rsid w:val="00052BA6"/>
    <w:rsid w:val="00065AC5"/>
    <w:rsid w:val="00077175"/>
    <w:rsid w:val="0008168F"/>
    <w:rsid w:val="000827E2"/>
    <w:rsid w:val="0008413B"/>
    <w:rsid w:val="00096665"/>
    <w:rsid w:val="00096BA1"/>
    <w:rsid w:val="000A3E26"/>
    <w:rsid w:val="000A6B18"/>
    <w:rsid w:val="000A7CD7"/>
    <w:rsid w:val="000B5D47"/>
    <w:rsid w:val="000B6911"/>
    <w:rsid w:val="000F1BF2"/>
    <w:rsid w:val="000F2C1D"/>
    <w:rsid w:val="00122BE8"/>
    <w:rsid w:val="001349C4"/>
    <w:rsid w:val="00142950"/>
    <w:rsid w:val="00145674"/>
    <w:rsid w:val="001573D9"/>
    <w:rsid w:val="001660FA"/>
    <w:rsid w:val="00174310"/>
    <w:rsid w:val="00180FB5"/>
    <w:rsid w:val="00181196"/>
    <w:rsid w:val="00182FF9"/>
    <w:rsid w:val="001935FB"/>
    <w:rsid w:val="001A22AB"/>
    <w:rsid w:val="001B22CD"/>
    <w:rsid w:val="001C2BC1"/>
    <w:rsid w:val="001C61C5"/>
    <w:rsid w:val="001E1B3C"/>
    <w:rsid w:val="00202F01"/>
    <w:rsid w:val="00204179"/>
    <w:rsid w:val="002115A6"/>
    <w:rsid w:val="00211F37"/>
    <w:rsid w:val="00224E93"/>
    <w:rsid w:val="00254207"/>
    <w:rsid w:val="00262DA4"/>
    <w:rsid w:val="00271977"/>
    <w:rsid w:val="002758C0"/>
    <w:rsid w:val="0028063E"/>
    <w:rsid w:val="002961A1"/>
    <w:rsid w:val="002A5136"/>
    <w:rsid w:val="002C74C2"/>
    <w:rsid w:val="002D4659"/>
    <w:rsid w:val="002F3CE3"/>
    <w:rsid w:val="002F5DDC"/>
    <w:rsid w:val="00307232"/>
    <w:rsid w:val="00312609"/>
    <w:rsid w:val="0032416E"/>
    <w:rsid w:val="00332C67"/>
    <w:rsid w:val="003623BE"/>
    <w:rsid w:val="00392329"/>
    <w:rsid w:val="003960A4"/>
    <w:rsid w:val="003A6A40"/>
    <w:rsid w:val="003B2745"/>
    <w:rsid w:val="003B5F9E"/>
    <w:rsid w:val="003C66E2"/>
    <w:rsid w:val="003D0812"/>
    <w:rsid w:val="003D7497"/>
    <w:rsid w:val="003E664C"/>
    <w:rsid w:val="003F79BB"/>
    <w:rsid w:val="0040786B"/>
    <w:rsid w:val="00410834"/>
    <w:rsid w:val="004263AE"/>
    <w:rsid w:val="004500E6"/>
    <w:rsid w:val="0045494F"/>
    <w:rsid w:val="00455F68"/>
    <w:rsid w:val="004641EF"/>
    <w:rsid w:val="00466DEE"/>
    <w:rsid w:val="00467893"/>
    <w:rsid w:val="00483812"/>
    <w:rsid w:val="00485FF0"/>
    <w:rsid w:val="00487595"/>
    <w:rsid w:val="004931CA"/>
    <w:rsid w:val="00493599"/>
    <w:rsid w:val="00494FEC"/>
    <w:rsid w:val="00495CA2"/>
    <w:rsid w:val="004C26BE"/>
    <w:rsid w:val="004C290E"/>
    <w:rsid w:val="004D4B5D"/>
    <w:rsid w:val="004F14A6"/>
    <w:rsid w:val="004F2CDB"/>
    <w:rsid w:val="004F5530"/>
    <w:rsid w:val="00503256"/>
    <w:rsid w:val="00504336"/>
    <w:rsid w:val="00507C31"/>
    <w:rsid w:val="00521196"/>
    <w:rsid w:val="00526717"/>
    <w:rsid w:val="0053547D"/>
    <w:rsid w:val="005401D7"/>
    <w:rsid w:val="00541201"/>
    <w:rsid w:val="0054592B"/>
    <w:rsid w:val="005476AA"/>
    <w:rsid w:val="0055158B"/>
    <w:rsid w:val="00586E79"/>
    <w:rsid w:val="00586E8E"/>
    <w:rsid w:val="005A5303"/>
    <w:rsid w:val="005A676F"/>
    <w:rsid w:val="005A7DDF"/>
    <w:rsid w:val="005C21BB"/>
    <w:rsid w:val="005C474A"/>
    <w:rsid w:val="005E279D"/>
    <w:rsid w:val="005E3961"/>
    <w:rsid w:val="005E53FA"/>
    <w:rsid w:val="005F1C0E"/>
    <w:rsid w:val="005F250D"/>
    <w:rsid w:val="005F424F"/>
    <w:rsid w:val="00607BCF"/>
    <w:rsid w:val="0061103E"/>
    <w:rsid w:val="00617D84"/>
    <w:rsid w:val="00636CA7"/>
    <w:rsid w:val="00637694"/>
    <w:rsid w:val="00645352"/>
    <w:rsid w:val="0064661E"/>
    <w:rsid w:val="0066674A"/>
    <w:rsid w:val="00681234"/>
    <w:rsid w:val="006817B6"/>
    <w:rsid w:val="0068617F"/>
    <w:rsid w:val="006A3A8D"/>
    <w:rsid w:val="006A5A4C"/>
    <w:rsid w:val="006B06A3"/>
    <w:rsid w:val="006B2CDE"/>
    <w:rsid w:val="006B370A"/>
    <w:rsid w:val="006B73A6"/>
    <w:rsid w:val="006C57C2"/>
    <w:rsid w:val="006D050B"/>
    <w:rsid w:val="006D3F4E"/>
    <w:rsid w:val="006D5ADB"/>
    <w:rsid w:val="006F72CC"/>
    <w:rsid w:val="007046C8"/>
    <w:rsid w:val="00716F8D"/>
    <w:rsid w:val="0072610C"/>
    <w:rsid w:val="007311A3"/>
    <w:rsid w:val="007334C8"/>
    <w:rsid w:val="00736980"/>
    <w:rsid w:val="0074407B"/>
    <w:rsid w:val="00744D03"/>
    <w:rsid w:val="00756C23"/>
    <w:rsid w:val="0075752D"/>
    <w:rsid w:val="007673B4"/>
    <w:rsid w:val="00774530"/>
    <w:rsid w:val="00790CCB"/>
    <w:rsid w:val="007A2761"/>
    <w:rsid w:val="007A52BE"/>
    <w:rsid w:val="007A56AE"/>
    <w:rsid w:val="007B7F87"/>
    <w:rsid w:val="007C18A9"/>
    <w:rsid w:val="007C1C10"/>
    <w:rsid w:val="007D2FB4"/>
    <w:rsid w:val="007D5C59"/>
    <w:rsid w:val="007E11AC"/>
    <w:rsid w:val="007E1594"/>
    <w:rsid w:val="007E4A4B"/>
    <w:rsid w:val="007E6ABF"/>
    <w:rsid w:val="007F0607"/>
    <w:rsid w:val="007F2F86"/>
    <w:rsid w:val="007F772D"/>
    <w:rsid w:val="008015AA"/>
    <w:rsid w:val="0082014E"/>
    <w:rsid w:val="008339E9"/>
    <w:rsid w:val="00845404"/>
    <w:rsid w:val="00850E6F"/>
    <w:rsid w:val="00876A5B"/>
    <w:rsid w:val="008814C8"/>
    <w:rsid w:val="00890B05"/>
    <w:rsid w:val="00896E99"/>
    <w:rsid w:val="008A089A"/>
    <w:rsid w:val="008A50A7"/>
    <w:rsid w:val="008B3C8A"/>
    <w:rsid w:val="008B498F"/>
    <w:rsid w:val="008C2E9D"/>
    <w:rsid w:val="008D3958"/>
    <w:rsid w:val="008E43F9"/>
    <w:rsid w:val="008E6424"/>
    <w:rsid w:val="00917CCA"/>
    <w:rsid w:val="00937F26"/>
    <w:rsid w:val="00940DE8"/>
    <w:rsid w:val="009559AD"/>
    <w:rsid w:val="00957D8A"/>
    <w:rsid w:val="0096211C"/>
    <w:rsid w:val="009759A1"/>
    <w:rsid w:val="00984F73"/>
    <w:rsid w:val="00990552"/>
    <w:rsid w:val="00990DB0"/>
    <w:rsid w:val="00996ED5"/>
    <w:rsid w:val="009B496C"/>
    <w:rsid w:val="009B7CBA"/>
    <w:rsid w:val="009C119B"/>
    <w:rsid w:val="009C7166"/>
    <w:rsid w:val="009E167D"/>
    <w:rsid w:val="009E6A8B"/>
    <w:rsid w:val="00A0209F"/>
    <w:rsid w:val="00A11759"/>
    <w:rsid w:val="00A1294D"/>
    <w:rsid w:val="00A57740"/>
    <w:rsid w:val="00A65654"/>
    <w:rsid w:val="00A73366"/>
    <w:rsid w:val="00A7512D"/>
    <w:rsid w:val="00AB2757"/>
    <w:rsid w:val="00AC2637"/>
    <w:rsid w:val="00AC434D"/>
    <w:rsid w:val="00AD327F"/>
    <w:rsid w:val="00B05270"/>
    <w:rsid w:val="00B110D6"/>
    <w:rsid w:val="00B15CCA"/>
    <w:rsid w:val="00B3199E"/>
    <w:rsid w:val="00B75743"/>
    <w:rsid w:val="00B86CD4"/>
    <w:rsid w:val="00B94055"/>
    <w:rsid w:val="00BA13AC"/>
    <w:rsid w:val="00BB3841"/>
    <w:rsid w:val="00BD528B"/>
    <w:rsid w:val="00BE02C7"/>
    <w:rsid w:val="00BF5DE0"/>
    <w:rsid w:val="00C0307A"/>
    <w:rsid w:val="00C07658"/>
    <w:rsid w:val="00C3035D"/>
    <w:rsid w:val="00C30948"/>
    <w:rsid w:val="00C334E9"/>
    <w:rsid w:val="00C607A3"/>
    <w:rsid w:val="00C71936"/>
    <w:rsid w:val="00C837B8"/>
    <w:rsid w:val="00C852A4"/>
    <w:rsid w:val="00C90C45"/>
    <w:rsid w:val="00C92CC8"/>
    <w:rsid w:val="00CA17A1"/>
    <w:rsid w:val="00CA1D02"/>
    <w:rsid w:val="00CA736E"/>
    <w:rsid w:val="00CB44AC"/>
    <w:rsid w:val="00CC3382"/>
    <w:rsid w:val="00CF78C9"/>
    <w:rsid w:val="00D05FF9"/>
    <w:rsid w:val="00D1299C"/>
    <w:rsid w:val="00D35063"/>
    <w:rsid w:val="00D430AF"/>
    <w:rsid w:val="00D66B93"/>
    <w:rsid w:val="00D672FF"/>
    <w:rsid w:val="00D70C45"/>
    <w:rsid w:val="00D70F86"/>
    <w:rsid w:val="00D74F85"/>
    <w:rsid w:val="00D83B6C"/>
    <w:rsid w:val="00D90D80"/>
    <w:rsid w:val="00DA2EA1"/>
    <w:rsid w:val="00DA79C8"/>
    <w:rsid w:val="00DC33C7"/>
    <w:rsid w:val="00DE3992"/>
    <w:rsid w:val="00DE4D7C"/>
    <w:rsid w:val="00E12BD9"/>
    <w:rsid w:val="00E20F87"/>
    <w:rsid w:val="00E31CFA"/>
    <w:rsid w:val="00E422B6"/>
    <w:rsid w:val="00E459F5"/>
    <w:rsid w:val="00E625A9"/>
    <w:rsid w:val="00E64C43"/>
    <w:rsid w:val="00E72AA8"/>
    <w:rsid w:val="00E73C1E"/>
    <w:rsid w:val="00EA12DE"/>
    <w:rsid w:val="00EC08AD"/>
    <w:rsid w:val="00EC271F"/>
    <w:rsid w:val="00EE0404"/>
    <w:rsid w:val="00EE4653"/>
    <w:rsid w:val="00EF3CE3"/>
    <w:rsid w:val="00F03BCA"/>
    <w:rsid w:val="00F305BC"/>
    <w:rsid w:val="00F834F8"/>
    <w:rsid w:val="00F86F7A"/>
    <w:rsid w:val="00F92C4C"/>
    <w:rsid w:val="00F97007"/>
    <w:rsid w:val="00FB0D25"/>
    <w:rsid w:val="00FC1230"/>
    <w:rsid w:val="00FD393F"/>
    <w:rsid w:val="00FD4B43"/>
    <w:rsid w:val="00FD72BA"/>
    <w:rsid w:val="4D46B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BCB4D"/>
  <w15:chartTrackingRefBased/>
  <w15:docId w15:val="{C2191276-F845-43CB-B49A-1C2D7D01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305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75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D3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3F4E"/>
  </w:style>
  <w:style w:type="paragraph" w:styleId="Rodap">
    <w:name w:val="footer"/>
    <w:basedOn w:val="Normal"/>
    <w:link w:val="RodapChar"/>
    <w:uiPriority w:val="99"/>
    <w:unhideWhenUsed/>
    <w:rsid w:val="006D3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3F4E"/>
  </w:style>
  <w:style w:type="character" w:customStyle="1" w:styleId="Ttulo1Char">
    <w:name w:val="Título 1 Char"/>
    <w:basedOn w:val="Fontepargpadro"/>
    <w:link w:val="Ttulo1"/>
    <w:uiPriority w:val="9"/>
    <w:rsid w:val="00F305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07232"/>
    <w:rPr>
      <w:color w:val="0563C1" w:themeColor="hyperlink"/>
      <w:u w:val="single"/>
    </w:rPr>
  </w:style>
  <w:style w:type="paragraph" w:customStyle="1" w:styleId="Default">
    <w:name w:val="Default"/>
    <w:rsid w:val="002758C0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04xlpa">
    <w:name w:val="_04xlpa"/>
    <w:basedOn w:val="Normal"/>
    <w:rsid w:val="0026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sgrdq">
    <w:name w:val="jsgrdq"/>
    <w:basedOn w:val="Fontepargpadro"/>
    <w:rsid w:val="00262DA4"/>
  </w:style>
  <w:style w:type="paragraph" w:styleId="NormalWeb">
    <w:name w:val="Normal (Web)"/>
    <w:basedOn w:val="Normal"/>
    <w:uiPriority w:val="99"/>
    <w:semiHidden/>
    <w:unhideWhenUsed/>
    <w:rsid w:val="00C9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17CCA"/>
    <w:pPr>
      <w:ind w:left="720"/>
      <w:contextualSpacing/>
    </w:pPr>
  </w:style>
  <w:style w:type="paragraph" w:customStyle="1" w:styleId="textojustificado">
    <w:name w:val="texto_justificado"/>
    <w:basedOn w:val="Normal"/>
    <w:rsid w:val="009E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A7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7512D"/>
  </w:style>
  <w:style w:type="character" w:customStyle="1" w:styleId="eop">
    <w:name w:val="eop"/>
    <w:basedOn w:val="Fontepargpadro"/>
    <w:rsid w:val="00A7512D"/>
  </w:style>
  <w:style w:type="character" w:styleId="Forte">
    <w:name w:val="Strong"/>
    <w:basedOn w:val="Fontepargpadro"/>
    <w:uiPriority w:val="22"/>
    <w:qFormat/>
    <w:rsid w:val="0054592B"/>
    <w:rPr>
      <w:b/>
      <w:bCs/>
    </w:rPr>
  </w:style>
  <w:style w:type="paragraph" w:customStyle="1" w:styleId="paragrafonumeradonivel1">
    <w:name w:val="paragrafo_numerado_nivel1"/>
    <w:basedOn w:val="Normal"/>
    <w:rsid w:val="0064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4661E"/>
    <w:rPr>
      <w:i/>
      <w:iCs/>
    </w:rPr>
  </w:style>
  <w:style w:type="paragraph" w:customStyle="1" w:styleId="xvisr">
    <w:name w:val="xvisr"/>
    <w:basedOn w:val="Normal"/>
    <w:rsid w:val="00E4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2eff">
    <w:name w:val="b2eff"/>
    <w:basedOn w:val="Fontepargpadro"/>
    <w:rsid w:val="00E45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casdoceara.com.br/ouvidor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scolavirtual.gov.br/curso/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casdoceara.com.br/sistema-de-correicao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404F-5130-436D-9951-AD00BF29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Oliveira Pereira</dc:creator>
  <cp:keywords/>
  <dc:description/>
  <cp:lastModifiedBy>Rebeca Soares</cp:lastModifiedBy>
  <cp:revision>2</cp:revision>
  <cp:lastPrinted>2021-07-16T16:41:00Z</cp:lastPrinted>
  <dcterms:created xsi:type="dcterms:W3CDTF">2024-04-16T17:23:00Z</dcterms:created>
  <dcterms:modified xsi:type="dcterms:W3CDTF">2024-04-16T17:23:00Z</dcterms:modified>
</cp:coreProperties>
</file>