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5" w:firstLine="0"/>
        <w:jc w:val="center"/>
        <w:rPr>
          <w:sz w:val="26"/>
        </w:rPr>
      </w:pPr>
      <w:bookmarkStart w:name="Portaria 39 (10773232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39,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16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5"/>
        <w:ind w:left="123" w:right="78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CEARÁ,</w:t>
      </w:r>
      <w:r>
        <w:rPr>
          <w:b/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lhe confere o inciso XV, do Art. 75, do Estatuto Social da Empresa;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ind w:left="15" w:right="6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pStyle w:val="BodyText"/>
        <w:ind w:left="242" w:right="246"/>
        <w:jc w:val="both"/>
        <w:rPr>
          <w:b/>
        </w:rPr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1°-</w:t>
      </w:r>
      <w:r>
        <w:rPr>
          <w:b/>
          <w:spacing w:val="-2"/>
        </w:rPr>
        <w:t> </w:t>
      </w:r>
      <w:r>
        <w:rPr>
          <w:b/>
        </w:rPr>
        <w:t>ALTERAR</w:t>
      </w:r>
      <w:r>
        <w:rPr>
          <w:b/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249/2025</w:t>
      </w:r>
      <w:r>
        <w:rPr>
          <w:spacing w:val="-1"/>
        </w:rPr>
        <w:t> </w:t>
      </w:r>
      <w:r>
        <w:rPr/>
        <w:t>(10373527), que instituiu comissão de sindicância destinada à apuração de responsabilidade acerca dos fatos relatados quanto a contratação emergencial, conforme o processo SEI 50900.001153/2022-12 e o juízo de admissibilidade realizado no PARECER 19/2022/AUDINT-CDC/DIRPRE-CDC (</w:t>
      </w:r>
      <w:r>
        <w:rPr>
          <w:b/>
        </w:rPr>
        <w:t>Processo SEI 50900.001445/2022-55).</w:t>
      </w:r>
    </w:p>
    <w:p>
      <w:pPr>
        <w:spacing w:before="112"/>
        <w:ind w:left="242" w:right="267" w:firstLine="0"/>
        <w:jc w:val="both"/>
        <w:rPr>
          <w:b/>
          <w:sz w:val="24"/>
        </w:rPr>
      </w:pPr>
      <w:r>
        <w:rPr>
          <w:b/>
          <w:sz w:val="24"/>
        </w:rPr>
        <w:t>Art. 2°-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referida comissão passa a ser composta pelos seguintes empregados:</w:t>
      </w:r>
      <w:r>
        <w:rPr>
          <w:spacing w:val="-15"/>
          <w:sz w:val="24"/>
        </w:rPr>
        <w:t> </w:t>
      </w:r>
      <w:r>
        <w:rPr>
          <w:b/>
          <w:sz w:val="24"/>
        </w:rPr>
        <w:t>ALEXSANDRO SILVA ARAÚJO </w:t>
      </w:r>
      <w:r>
        <w:rPr>
          <w:sz w:val="24"/>
        </w:rPr>
        <w:t>(Presidente), </w:t>
      </w:r>
      <w:r>
        <w:rPr>
          <w:b/>
          <w:sz w:val="24"/>
        </w:rPr>
        <w:t>MARCOS SÁVIO MENEZES LOURENÇO </w:t>
      </w:r>
      <w:r>
        <w:rPr>
          <w:sz w:val="24"/>
        </w:rPr>
        <w:t>e </w:t>
      </w:r>
      <w:r>
        <w:rPr>
          <w:b/>
          <w:sz w:val="24"/>
        </w:rPr>
        <w:t>OSWALDO GEORGE </w:t>
      </w:r>
      <w:r>
        <w:rPr>
          <w:b/>
          <w:spacing w:val="-2"/>
          <w:sz w:val="24"/>
        </w:rPr>
        <w:t>FONTENELE;</w:t>
      </w:r>
    </w:p>
    <w:p>
      <w:pPr>
        <w:pStyle w:val="BodyText"/>
        <w:spacing w:before="114"/>
        <w:ind w:left="242" w:right="78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3°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>
          <w:b/>
        </w:rPr>
        <w:t>DETERMINAR</w:t>
      </w:r>
      <w:r>
        <w:rPr>
          <w:b/>
          <w:spacing w:val="-1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Correição;</w:t>
      </w:r>
    </w:p>
    <w:p>
      <w:pPr>
        <w:pStyle w:val="BodyText"/>
        <w:spacing w:before="116"/>
        <w:ind w:left="242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4°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Esta</w:t>
      </w:r>
      <w:r>
        <w:rPr>
          <w:spacing w:val="-7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406473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1129456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spacing w:before="1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80584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45219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6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8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6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6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26/01/2026,</w:t>
      </w:r>
      <w:r>
        <w:rPr>
          <w:spacing w:val="40"/>
          <w:sz w:val="21"/>
        </w:rPr>
        <w:t> </w:t>
      </w:r>
      <w:r>
        <w:rPr>
          <w:sz w:val="21"/>
        </w:rPr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78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10773232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7DDB142D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10773232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39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(10773232)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130005pt;margin-top:821.947266pt;width:104.85pt;height:13.2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39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(10773232)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4.950pt;height:13.2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2026-04-30T13:05:48Z</dcterms:created>
  <dcterms:modified xsi:type="dcterms:W3CDTF">2026-04-30T13:05:48Z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